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29, 2026</w:t>
      </w:r>
    </w:p>
    <w:p>
      <w:pPr>
        <w:spacing w:after="0" w:line="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190500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REGISTRATION STATEMENT</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181610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Bambusa Therapeutics,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800" w:type="dxa"/>
            <w:vAlign w:val="bottom"/>
          </w:tcPr>
          <w:p>
            <w:pPr>
              <w:jc w:val="center"/>
              <w:ind w:left="175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440" w:type="dxa"/>
            <w:vAlign w:val="bottom"/>
          </w:tcPr>
          <w:p>
            <w:pPr>
              <w:jc w:val="center"/>
              <w:ind w:left="1749"/>
              <w:spacing w:after="0"/>
              <w:rPr>
                <w:sz w:val="20"/>
                <w:szCs w:val="20"/>
                <w:color w:val="auto"/>
              </w:rPr>
            </w:pPr>
            <w:r>
              <w:rPr>
                <w:rFonts w:ascii="Times New Roman" w:cs="Times New Roman" w:eastAsia="Times New Roman" w:hAnsi="Times New Roman"/>
                <w:sz w:val="16"/>
                <w:szCs w:val="16"/>
                <w:b w:val="1"/>
                <w:bCs w:val="1"/>
                <w:color w:val="auto"/>
              </w:rPr>
              <w:t>99-2083913</w:t>
            </w:r>
          </w:p>
        </w:tc>
      </w:tr>
      <w:tr>
        <w:trPr>
          <w:trHeight w:val="161"/>
        </w:trPr>
        <w:tc>
          <w:tcPr>
            <w:tcW w:w="3800" w:type="dxa"/>
            <w:vAlign w:val="bottom"/>
          </w:tcPr>
          <w:p>
            <w:pPr>
              <w:jc w:val="center"/>
              <w:ind w:left="1772"/>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7440" w:type="dxa"/>
            <w:vAlign w:val="bottom"/>
          </w:tcPr>
          <w:p>
            <w:pPr>
              <w:jc w:val="center"/>
              <w:ind w:left="1749"/>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63"/>
        </w:trPr>
        <w:tc>
          <w:tcPr>
            <w:tcW w:w="3800" w:type="dxa"/>
            <w:vAlign w:val="bottom"/>
          </w:tcPr>
          <w:p>
            <w:pPr>
              <w:jc w:val="center"/>
              <w:ind w:left="1752"/>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7440" w:type="dxa"/>
            <w:vAlign w:val="bottom"/>
          </w:tcPr>
          <w:p>
            <w:pPr>
              <w:jc w:val="center"/>
              <w:ind w:left="1749"/>
              <w:spacing w:after="0"/>
              <w:rPr>
                <w:sz w:val="20"/>
                <w:szCs w:val="20"/>
                <w:color w:val="auto"/>
              </w:rPr>
            </w:pPr>
            <w:r>
              <w:rPr>
                <w:rFonts w:ascii="Times New Roman" w:cs="Times New Roman" w:eastAsia="Times New Roman" w:hAnsi="Times New Roman"/>
                <w:sz w:val="12"/>
                <w:szCs w:val="12"/>
                <w:color w:val="auto"/>
                <w:w w:val="99"/>
              </w:rPr>
              <w:t>Identification Number)</w:t>
            </w:r>
          </w:p>
        </w:tc>
      </w:tr>
      <w:tr>
        <w:trPr>
          <w:trHeight w:val="427"/>
        </w:trPr>
        <w:tc>
          <w:tcPr>
            <w:tcW w:w="3800" w:type="dxa"/>
            <w:vAlign w:val="bottom"/>
          </w:tcPr>
          <w:p>
            <w:pPr>
              <w:spacing w:after="0"/>
              <w:rPr>
                <w:sz w:val="24"/>
                <w:szCs w:val="24"/>
                <w:color w:val="auto"/>
              </w:rPr>
            </w:pPr>
          </w:p>
        </w:tc>
        <w:tc>
          <w:tcPr>
            <w:tcW w:w="7440" w:type="dxa"/>
            <w:vAlign w:val="bottom"/>
          </w:tcPr>
          <w:p>
            <w:pPr>
              <w:jc w:val="center"/>
              <w:ind w:right="3709"/>
              <w:spacing w:after="0"/>
              <w:rPr>
                <w:sz w:val="20"/>
                <w:szCs w:val="20"/>
                <w:color w:val="auto"/>
              </w:rPr>
            </w:pPr>
            <w:r>
              <w:rPr>
                <w:rFonts w:ascii="Times New Roman" w:cs="Times New Roman" w:eastAsia="Times New Roman" w:hAnsi="Times New Roman"/>
                <w:sz w:val="16"/>
                <w:szCs w:val="16"/>
                <w:b w:val="1"/>
                <w:bCs w:val="1"/>
                <w:color w:val="auto"/>
                <w:w w:val="99"/>
              </w:rPr>
              <w:t>22 Boston Wharf Road, Floor 7</w:t>
            </w:r>
          </w:p>
        </w:tc>
      </w:tr>
      <w:tr>
        <w:trPr>
          <w:trHeight w:val="174"/>
        </w:trPr>
        <w:tc>
          <w:tcPr>
            <w:tcW w:w="3800" w:type="dxa"/>
            <w:vAlign w:val="bottom"/>
          </w:tcPr>
          <w:p>
            <w:pPr>
              <w:spacing w:after="0"/>
              <w:rPr>
                <w:sz w:val="15"/>
                <w:szCs w:val="15"/>
                <w:color w:val="auto"/>
              </w:rPr>
            </w:pPr>
          </w:p>
        </w:tc>
        <w:tc>
          <w:tcPr>
            <w:tcW w:w="7440" w:type="dxa"/>
            <w:vAlign w:val="bottom"/>
          </w:tcPr>
          <w:p>
            <w:pPr>
              <w:jc w:val="center"/>
              <w:ind w:right="3709"/>
              <w:spacing w:after="0" w:line="174" w:lineRule="exact"/>
              <w:rPr>
                <w:sz w:val="20"/>
                <w:szCs w:val="20"/>
                <w:color w:val="auto"/>
              </w:rPr>
            </w:pPr>
            <w:r>
              <w:rPr>
                <w:rFonts w:ascii="Times New Roman" w:cs="Times New Roman" w:eastAsia="Times New Roman" w:hAnsi="Times New Roman"/>
                <w:sz w:val="16"/>
                <w:szCs w:val="16"/>
                <w:b w:val="1"/>
                <w:bCs w:val="1"/>
                <w:color w:val="auto"/>
              </w:rPr>
              <w:t>Boston, Massachusetts 02210</w:t>
            </w:r>
          </w:p>
        </w:tc>
      </w:tr>
      <w:tr>
        <w:trPr>
          <w:trHeight w:val="185"/>
        </w:trPr>
        <w:tc>
          <w:tcPr>
            <w:tcW w:w="3800" w:type="dxa"/>
            <w:vAlign w:val="bottom"/>
          </w:tcPr>
          <w:p>
            <w:pPr>
              <w:spacing w:after="0"/>
              <w:rPr>
                <w:sz w:val="16"/>
                <w:szCs w:val="16"/>
                <w:color w:val="auto"/>
              </w:rPr>
            </w:pPr>
          </w:p>
        </w:tc>
        <w:tc>
          <w:tcPr>
            <w:tcW w:w="7440" w:type="dxa"/>
            <w:vAlign w:val="bottom"/>
          </w:tcPr>
          <w:p>
            <w:pPr>
              <w:jc w:val="right"/>
              <w:ind w:right="5049"/>
              <w:spacing w:after="0"/>
              <w:rPr>
                <w:sz w:val="20"/>
                <w:szCs w:val="20"/>
                <w:color w:val="auto"/>
              </w:rPr>
            </w:pPr>
            <w:r>
              <w:rPr>
                <w:rFonts w:ascii="Times New Roman" w:cs="Times New Roman" w:eastAsia="Times New Roman" w:hAnsi="Times New Roman"/>
                <w:sz w:val="16"/>
                <w:szCs w:val="16"/>
                <w:b w:val="1"/>
                <w:bCs w:val="1"/>
                <w:color w:val="auto"/>
              </w:rPr>
              <w:t>(617) 848-6188</w:t>
            </w:r>
          </w:p>
        </w:tc>
      </w:tr>
      <w:tr>
        <w:trPr>
          <w:trHeight w:val="163"/>
        </w:trPr>
        <w:tc>
          <w:tcPr>
            <w:tcW w:w="3800" w:type="dxa"/>
            <w:vAlign w:val="bottom"/>
          </w:tcPr>
          <w:p>
            <w:pPr>
              <w:spacing w:after="0"/>
              <w:rPr>
                <w:sz w:val="14"/>
                <w:szCs w:val="14"/>
                <w:color w:val="auto"/>
              </w:rPr>
            </w:pPr>
          </w:p>
        </w:tc>
        <w:tc>
          <w:tcPr>
            <w:tcW w:w="7440" w:type="dxa"/>
            <w:vAlign w:val="bottom"/>
          </w:tcPr>
          <w:p>
            <w:pPr>
              <w:jc w:val="center"/>
              <w:ind w:right="3729"/>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tc>
      </w:tr>
      <w:tr>
        <w:trPr>
          <w:trHeight w:val="96"/>
        </w:trPr>
        <w:tc>
          <w:tcPr>
            <w:tcW w:w="3800" w:type="dxa"/>
            <w:vAlign w:val="bottom"/>
            <w:tcBorders>
              <w:bottom w:val="single" w:sz="8" w:color="auto"/>
            </w:tcBorders>
          </w:tcPr>
          <w:p>
            <w:pPr>
              <w:spacing w:after="0"/>
              <w:rPr>
                <w:sz w:val="8"/>
                <w:szCs w:val="8"/>
                <w:color w:val="auto"/>
              </w:rPr>
            </w:pPr>
          </w:p>
        </w:tc>
        <w:tc>
          <w:tcPr>
            <w:tcW w:w="7440" w:type="dxa"/>
            <w:vAlign w:val="bottom"/>
            <w:tcBorders>
              <w:bottom w:val="single" w:sz="8" w:color="auto"/>
            </w:tcBorders>
          </w:tcPr>
          <w:p>
            <w:pPr>
              <w:spacing w:after="0"/>
              <w:rPr>
                <w:sz w:val="8"/>
                <w:szCs w:val="8"/>
                <w:color w:val="auto"/>
              </w:rPr>
            </w:pPr>
          </w:p>
        </w:tc>
      </w:tr>
      <w:tr>
        <w:trPr>
          <w:trHeight w:val="369"/>
        </w:trPr>
        <w:tc>
          <w:tcPr>
            <w:tcW w:w="3800" w:type="dxa"/>
            <w:vAlign w:val="bottom"/>
          </w:tcPr>
          <w:p>
            <w:pPr>
              <w:spacing w:after="0"/>
              <w:rPr>
                <w:sz w:val="24"/>
                <w:szCs w:val="24"/>
                <w:color w:val="auto"/>
              </w:rPr>
            </w:pPr>
          </w:p>
        </w:tc>
        <w:tc>
          <w:tcPr>
            <w:tcW w:w="7440" w:type="dxa"/>
            <w:vAlign w:val="bottom"/>
          </w:tcPr>
          <w:p>
            <w:pPr>
              <w:jc w:val="center"/>
              <w:ind w:right="3729"/>
              <w:spacing w:after="0"/>
              <w:rPr>
                <w:sz w:val="20"/>
                <w:szCs w:val="20"/>
                <w:color w:val="auto"/>
              </w:rPr>
            </w:pPr>
            <w:r>
              <w:rPr>
                <w:rFonts w:ascii="Times New Roman" w:cs="Times New Roman" w:eastAsia="Times New Roman" w:hAnsi="Times New Roman"/>
                <w:sz w:val="14"/>
                <w:szCs w:val="14"/>
                <w:b w:val="1"/>
                <w:bCs w:val="1"/>
                <w:color w:val="auto"/>
              </w:rPr>
              <w:t>2026 Equity Incentive Plan</w:t>
            </w:r>
          </w:p>
        </w:tc>
      </w:tr>
      <w:tr>
        <w:trPr>
          <w:trHeight w:val="160"/>
        </w:trPr>
        <w:tc>
          <w:tcPr>
            <w:tcW w:w="3800" w:type="dxa"/>
            <w:vAlign w:val="bottom"/>
          </w:tcPr>
          <w:p>
            <w:pPr>
              <w:spacing w:after="0"/>
              <w:rPr>
                <w:sz w:val="13"/>
                <w:szCs w:val="13"/>
                <w:color w:val="auto"/>
              </w:rPr>
            </w:pPr>
          </w:p>
        </w:tc>
        <w:tc>
          <w:tcPr>
            <w:tcW w:w="7440" w:type="dxa"/>
            <w:vAlign w:val="bottom"/>
          </w:tcPr>
          <w:p>
            <w:pPr>
              <w:jc w:val="center"/>
              <w:ind w:right="3729"/>
              <w:spacing w:after="0"/>
              <w:rPr>
                <w:sz w:val="20"/>
                <w:szCs w:val="20"/>
                <w:color w:val="auto"/>
              </w:rPr>
            </w:pPr>
            <w:r>
              <w:rPr>
                <w:rFonts w:ascii="Times New Roman" w:cs="Times New Roman" w:eastAsia="Times New Roman" w:hAnsi="Times New Roman"/>
                <w:sz w:val="14"/>
                <w:szCs w:val="14"/>
                <w:b w:val="1"/>
                <w:bCs w:val="1"/>
                <w:color w:val="auto"/>
              </w:rPr>
              <w:t>2026 Employee Stock Purchase Plan</w:t>
            </w:r>
          </w:p>
        </w:tc>
      </w:tr>
      <w:tr>
        <w:trPr>
          <w:trHeight w:val="167"/>
        </w:trPr>
        <w:tc>
          <w:tcPr>
            <w:tcW w:w="3800" w:type="dxa"/>
            <w:vAlign w:val="bottom"/>
          </w:tcPr>
          <w:p>
            <w:pPr>
              <w:spacing w:after="0"/>
              <w:rPr>
                <w:sz w:val="14"/>
                <w:szCs w:val="14"/>
                <w:color w:val="auto"/>
              </w:rPr>
            </w:pPr>
          </w:p>
        </w:tc>
        <w:tc>
          <w:tcPr>
            <w:tcW w:w="7440" w:type="dxa"/>
            <w:vAlign w:val="bottom"/>
          </w:tcPr>
          <w:p>
            <w:pPr>
              <w:jc w:val="center"/>
              <w:ind w:right="3709"/>
              <w:spacing w:after="0"/>
              <w:rPr>
                <w:sz w:val="20"/>
                <w:szCs w:val="20"/>
                <w:color w:val="auto"/>
              </w:rPr>
            </w:pPr>
            <w:r>
              <w:rPr>
                <w:rFonts w:ascii="Times New Roman" w:cs="Times New Roman" w:eastAsia="Times New Roman" w:hAnsi="Times New Roman"/>
                <w:sz w:val="14"/>
                <w:szCs w:val="14"/>
                <w:b w:val="1"/>
                <w:bCs w:val="1"/>
                <w:color w:val="auto"/>
              </w:rPr>
              <w:t>2024 Stock Plan</w:t>
            </w:r>
          </w:p>
        </w:tc>
      </w:tr>
      <w:tr>
        <w:trPr>
          <w:trHeight w:val="127"/>
        </w:trPr>
        <w:tc>
          <w:tcPr>
            <w:tcW w:w="3800" w:type="dxa"/>
            <w:vAlign w:val="bottom"/>
          </w:tcPr>
          <w:p>
            <w:pPr>
              <w:spacing w:after="0"/>
              <w:rPr>
                <w:sz w:val="11"/>
                <w:szCs w:val="11"/>
                <w:color w:val="auto"/>
              </w:rPr>
            </w:pPr>
          </w:p>
        </w:tc>
        <w:tc>
          <w:tcPr>
            <w:tcW w:w="7440" w:type="dxa"/>
            <w:vAlign w:val="bottom"/>
          </w:tcPr>
          <w:p>
            <w:pPr>
              <w:jc w:val="center"/>
              <w:ind w:right="3729"/>
              <w:spacing w:after="0" w:line="128" w:lineRule="exact"/>
              <w:rPr>
                <w:sz w:val="20"/>
                <w:szCs w:val="20"/>
                <w:color w:val="auto"/>
              </w:rPr>
            </w:pPr>
            <w:r>
              <w:rPr>
                <w:rFonts w:ascii="Times New Roman" w:cs="Times New Roman" w:eastAsia="Times New Roman" w:hAnsi="Times New Roman"/>
                <w:sz w:val="12"/>
                <w:szCs w:val="12"/>
                <w:color w:val="auto"/>
              </w:rPr>
              <w:t>(Full title of the plan)</w:t>
            </w:r>
          </w:p>
        </w:tc>
      </w:tr>
      <w:tr>
        <w:trPr>
          <w:trHeight w:val="160"/>
        </w:trPr>
        <w:tc>
          <w:tcPr>
            <w:tcW w:w="3800" w:type="dxa"/>
            <w:vAlign w:val="bottom"/>
          </w:tcPr>
          <w:p>
            <w:pPr>
              <w:spacing w:after="0"/>
              <w:rPr>
                <w:sz w:val="13"/>
                <w:szCs w:val="13"/>
                <w:color w:val="auto"/>
              </w:rPr>
            </w:pPr>
          </w:p>
        </w:tc>
        <w:tc>
          <w:tcPr>
            <w:tcW w:w="7440" w:type="dxa"/>
            <w:vAlign w:val="bottom"/>
          </w:tcPr>
          <w:p>
            <w:pPr>
              <w:jc w:val="center"/>
              <w:ind w:right="3729"/>
              <w:spacing w:after="0"/>
              <w:rPr>
                <w:sz w:val="20"/>
                <w:szCs w:val="20"/>
                <w:color w:val="auto"/>
              </w:rPr>
            </w:pPr>
            <w:r>
              <w:rPr>
                <w:rFonts w:ascii="Times New Roman" w:cs="Times New Roman" w:eastAsia="Times New Roman" w:hAnsi="Times New Roman"/>
                <w:sz w:val="14"/>
                <w:szCs w:val="14"/>
                <w:b w:val="1"/>
                <w:bCs w:val="1"/>
                <w:color w:val="auto"/>
              </w:rPr>
              <w:t>Shanshan Xu, M.D., Ph.D., M.B.A.</w:t>
            </w:r>
          </w:p>
        </w:tc>
      </w:tr>
      <w:tr>
        <w:trPr>
          <w:trHeight w:val="147"/>
        </w:trPr>
        <w:tc>
          <w:tcPr>
            <w:tcW w:w="3800" w:type="dxa"/>
            <w:vAlign w:val="bottom"/>
          </w:tcPr>
          <w:p>
            <w:pPr>
              <w:spacing w:after="0"/>
              <w:rPr>
                <w:sz w:val="12"/>
                <w:szCs w:val="12"/>
                <w:color w:val="auto"/>
              </w:rPr>
            </w:pPr>
          </w:p>
        </w:tc>
        <w:tc>
          <w:tcPr>
            <w:tcW w:w="7440" w:type="dxa"/>
            <w:vAlign w:val="bottom"/>
          </w:tcPr>
          <w:p>
            <w:pPr>
              <w:jc w:val="center"/>
              <w:ind w:right="3729"/>
              <w:spacing w:after="0" w:line="147" w:lineRule="exact"/>
              <w:rPr>
                <w:sz w:val="20"/>
                <w:szCs w:val="20"/>
                <w:color w:val="auto"/>
              </w:rPr>
            </w:pPr>
            <w:r>
              <w:rPr>
                <w:rFonts w:ascii="Times New Roman" w:cs="Times New Roman" w:eastAsia="Times New Roman" w:hAnsi="Times New Roman"/>
                <w:sz w:val="14"/>
                <w:szCs w:val="14"/>
                <w:b w:val="1"/>
                <w:bCs w:val="1"/>
                <w:color w:val="auto"/>
              </w:rPr>
              <w:t>Chief Executive Officer, President, and Chairperson</w:t>
            </w:r>
          </w:p>
        </w:tc>
      </w:tr>
      <w:tr>
        <w:trPr>
          <w:trHeight w:val="160"/>
        </w:trPr>
        <w:tc>
          <w:tcPr>
            <w:tcW w:w="3800" w:type="dxa"/>
            <w:vAlign w:val="bottom"/>
          </w:tcPr>
          <w:p>
            <w:pPr>
              <w:spacing w:after="0"/>
              <w:rPr>
                <w:sz w:val="13"/>
                <w:szCs w:val="13"/>
                <w:color w:val="auto"/>
              </w:rPr>
            </w:pPr>
          </w:p>
        </w:tc>
        <w:tc>
          <w:tcPr>
            <w:tcW w:w="7440" w:type="dxa"/>
            <w:vAlign w:val="bottom"/>
          </w:tcPr>
          <w:p>
            <w:pPr>
              <w:jc w:val="center"/>
              <w:ind w:right="3709"/>
              <w:spacing w:after="0"/>
              <w:rPr>
                <w:sz w:val="20"/>
                <w:szCs w:val="20"/>
                <w:color w:val="auto"/>
              </w:rPr>
            </w:pPr>
            <w:r>
              <w:rPr>
                <w:rFonts w:ascii="Times New Roman" w:cs="Times New Roman" w:eastAsia="Times New Roman" w:hAnsi="Times New Roman"/>
                <w:sz w:val="14"/>
                <w:szCs w:val="14"/>
                <w:b w:val="1"/>
                <w:bCs w:val="1"/>
                <w:color w:val="auto"/>
              </w:rPr>
              <w:t>22 Boston Wharf Road, Floor 7</w:t>
            </w:r>
          </w:p>
        </w:tc>
      </w:tr>
      <w:tr>
        <w:trPr>
          <w:trHeight w:val="160"/>
        </w:trPr>
        <w:tc>
          <w:tcPr>
            <w:tcW w:w="3800" w:type="dxa"/>
            <w:vAlign w:val="bottom"/>
          </w:tcPr>
          <w:p>
            <w:pPr>
              <w:spacing w:after="0"/>
              <w:rPr>
                <w:sz w:val="13"/>
                <w:szCs w:val="13"/>
                <w:color w:val="auto"/>
              </w:rPr>
            </w:pPr>
          </w:p>
        </w:tc>
        <w:tc>
          <w:tcPr>
            <w:tcW w:w="7440" w:type="dxa"/>
            <w:vAlign w:val="bottom"/>
          </w:tcPr>
          <w:p>
            <w:pPr>
              <w:jc w:val="center"/>
              <w:ind w:right="3729"/>
              <w:spacing w:after="0"/>
              <w:rPr>
                <w:sz w:val="20"/>
                <w:szCs w:val="20"/>
                <w:color w:val="auto"/>
              </w:rPr>
            </w:pPr>
            <w:r>
              <w:rPr>
                <w:rFonts w:ascii="Times New Roman" w:cs="Times New Roman" w:eastAsia="Times New Roman" w:hAnsi="Times New Roman"/>
                <w:sz w:val="14"/>
                <w:szCs w:val="14"/>
                <w:b w:val="1"/>
                <w:bCs w:val="1"/>
                <w:color w:val="auto"/>
              </w:rPr>
              <w:t>Boston, Massachusetts 02210</w:t>
            </w:r>
          </w:p>
        </w:tc>
      </w:tr>
      <w:tr>
        <w:trPr>
          <w:trHeight w:val="181"/>
        </w:trPr>
        <w:tc>
          <w:tcPr>
            <w:tcW w:w="3800" w:type="dxa"/>
            <w:vAlign w:val="bottom"/>
          </w:tcPr>
          <w:p>
            <w:pPr>
              <w:spacing w:after="0"/>
              <w:rPr>
                <w:sz w:val="15"/>
                <w:szCs w:val="15"/>
                <w:color w:val="auto"/>
              </w:rPr>
            </w:pPr>
          </w:p>
        </w:tc>
        <w:tc>
          <w:tcPr>
            <w:tcW w:w="7440" w:type="dxa"/>
            <w:vAlign w:val="bottom"/>
          </w:tcPr>
          <w:p>
            <w:pPr>
              <w:jc w:val="right"/>
              <w:ind w:right="5109"/>
              <w:spacing w:after="0"/>
              <w:rPr>
                <w:sz w:val="20"/>
                <w:szCs w:val="20"/>
                <w:color w:val="auto"/>
              </w:rPr>
            </w:pPr>
            <w:r>
              <w:rPr>
                <w:rFonts w:ascii="Times New Roman" w:cs="Times New Roman" w:eastAsia="Times New Roman" w:hAnsi="Times New Roman"/>
                <w:sz w:val="14"/>
                <w:szCs w:val="14"/>
                <w:b w:val="1"/>
                <w:bCs w:val="1"/>
                <w:color w:val="auto"/>
              </w:rPr>
              <w:t>(617) 848-6188</w:t>
            </w:r>
          </w:p>
        </w:tc>
      </w:tr>
    </w:tbl>
    <w:p>
      <w:pPr>
        <w:jc w:val="center"/>
        <w:spacing w:after="0"/>
        <w:rPr>
          <w:sz w:val="20"/>
          <w:szCs w:val="20"/>
          <w:color w:val="auto"/>
        </w:rPr>
      </w:pPr>
      <w:r>
        <w:rPr>
          <w:rFonts w:ascii="Times New Roman" w:cs="Times New Roman" w:eastAsia="Times New Roman" w:hAnsi="Times New Roman"/>
          <w:sz w:val="12"/>
          <w:szCs w:val="12"/>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19"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Jennifer Fang</w:t>
      </w:r>
    </w:p>
    <w:p>
      <w:pPr>
        <w:ind w:left="5040"/>
        <w:spacing w:after="0"/>
        <w:rPr>
          <w:sz w:val="20"/>
          <w:szCs w:val="20"/>
          <w:color w:val="auto"/>
        </w:rPr>
      </w:pPr>
      <w:r>
        <w:rPr>
          <w:rFonts w:ascii="Times New Roman" w:cs="Times New Roman" w:eastAsia="Times New Roman" w:hAnsi="Times New Roman"/>
          <w:sz w:val="14"/>
          <w:szCs w:val="14"/>
          <w:b w:val="1"/>
          <w:bCs w:val="1"/>
          <w:color w:val="auto"/>
        </w:rPr>
        <w:t>Karen E. Deschaine</w:t>
      </w:r>
    </w:p>
    <w:p>
      <w:pPr>
        <w:ind w:left="5120"/>
        <w:spacing w:after="0" w:line="219" w:lineRule="auto"/>
        <w:rPr>
          <w:sz w:val="20"/>
          <w:szCs w:val="20"/>
          <w:color w:val="auto"/>
        </w:rPr>
      </w:pPr>
      <w:r>
        <w:rPr>
          <w:rFonts w:ascii="Times New Roman" w:cs="Times New Roman" w:eastAsia="Times New Roman" w:hAnsi="Times New Roman"/>
          <w:sz w:val="14"/>
          <w:szCs w:val="14"/>
          <w:b w:val="1"/>
          <w:bCs w:val="1"/>
          <w:color w:val="auto"/>
        </w:rPr>
        <w:t>David G. Sharon</w:t>
      </w:r>
    </w:p>
    <w:p>
      <w:pPr>
        <w:ind w:left="5240"/>
        <w:spacing w:after="0"/>
        <w:rPr>
          <w:sz w:val="20"/>
          <w:szCs w:val="20"/>
          <w:color w:val="auto"/>
        </w:rPr>
      </w:pPr>
      <w:r>
        <w:rPr>
          <w:rFonts w:ascii="Times New Roman" w:cs="Times New Roman" w:eastAsia="Times New Roman" w:hAnsi="Times New Roman"/>
          <w:sz w:val="14"/>
          <w:szCs w:val="14"/>
          <w:b w:val="1"/>
          <w:bCs w:val="1"/>
          <w:color w:val="auto"/>
        </w:rPr>
        <w:t>Tony Jeffries</w:t>
      </w:r>
    </w:p>
    <w:p>
      <w:pPr>
        <w:ind w:left="4460"/>
        <w:spacing w:after="0"/>
        <w:rPr>
          <w:sz w:val="20"/>
          <w:szCs w:val="20"/>
          <w:color w:val="auto"/>
        </w:rPr>
      </w:pPr>
      <w:r>
        <w:rPr>
          <w:rFonts w:ascii="Times New Roman" w:cs="Times New Roman" w:eastAsia="Times New Roman" w:hAnsi="Times New Roman"/>
          <w:sz w:val="14"/>
          <w:szCs w:val="14"/>
          <w:b w:val="1"/>
          <w:bCs w:val="1"/>
          <w:color w:val="auto"/>
        </w:rPr>
        <w:t>Wilson Sonsini Goodrich &amp; Rosati, P.C.</w:t>
      </w:r>
    </w:p>
    <w:p>
      <w:pPr>
        <w:ind w:left="4620"/>
        <w:spacing w:after="0" w:line="219" w:lineRule="auto"/>
        <w:rPr>
          <w:sz w:val="20"/>
          <w:szCs w:val="20"/>
          <w:color w:val="auto"/>
        </w:rPr>
      </w:pPr>
      <w:r>
        <w:rPr>
          <w:rFonts w:ascii="Times New Roman" w:cs="Times New Roman" w:eastAsia="Times New Roman" w:hAnsi="Times New Roman"/>
          <w:sz w:val="14"/>
          <w:szCs w:val="14"/>
          <w:b w:val="1"/>
          <w:bCs w:val="1"/>
          <w:color w:val="auto"/>
        </w:rPr>
        <w:t>201 Washington Street, Suite 2000</w:t>
      </w:r>
    </w:p>
    <w:p>
      <w:pPr>
        <w:jc w:val="center"/>
        <w:spacing w:after="0"/>
        <w:rPr>
          <w:sz w:val="20"/>
          <w:szCs w:val="20"/>
          <w:color w:val="auto"/>
        </w:rPr>
      </w:pPr>
      <w:r>
        <w:rPr>
          <w:rFonts w:ascii="Times New Roman" w:cs="Times New Roman" w:eastAsia="Times New Roman" w:hAnsi="Times New Roman"/>
          <w:sz w:val="14"/>
          <w:szCs w:val="14"/>
          <w:b w:val="1"/>
          <w:bCs w:val="1"/>
          <w:color w:val="auto"/>
        </w:rPr>
        <w:t>Boston, Massachusetts 02108-4403</w:t>
      </w:r>
    </w:p>
    <w:p>
      <w:pPr>
        <w:jc w:val="center"/>
        <w:spacing w:after="0"/>
        <w:rPr>
          <w:sz w:val="20"/>
          <w:szCs w:val="20"/>
          <w:color w:val="auto"/>
        </w:rPr>
      </w:pPr>
      <w:r>
        <w:rPr>
          <w:rFonts w:ascii="Times New Roman" w:cs="Times New Roman" w:eastAsia="Times New Roman" w:hAnsi="Times New Roman"/>
          <w:sz w:val="14"/>
          <w:szCs w:val="14"/>
          <w:b w:val="1"/>
          <w:bCs w:val="1"/>
          <w:color w:val="auto"/>
        </w:rPr>
        <w:t>(617) 598-7800</w:t>
      </w:r>
    </w:p>
    <w:p>
      <w:pPr>
        <w:spacing w:after="0" w:line="144"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Accelerated filer</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0"/>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8"/>
        </w:trPr>
        <w:tc>
          <w:tcPr>
            <w:tcW w:w="3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Emerging growth company</w:t>
            </w:r>
          </w:p>
        </w:tc>
        <w:tc>
          <w:tcPr>
            <w:tcW w:w="186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1" w:lineRule="exact"/>
        <w:rPr>
          <w:sz w:val="24"/>
          <w:szCs w:val="24"/>
          <w:color w:val="auto"/>
        </w:rPr>
      </w:pPr>
    </w:p>
    <w:p>
      <w:pPr>
        <w:ind w:right="10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Bambusa Therapeutics, Inc. (the “Registrant”) hereby incorporates by reference into this Registration Statement the following documents previously filed or to be filed with the Securities and Exchange Commission (the “Commission”):</w:t>
      </w:r>
    </w:p>
    <w:p>
      <w:pPr>
        <w:spacing w:after="0" w:line="163" w:lineRule="exact"/>
        <w:rPr>
          <w:sz w:val="20"/>
          <w:szCs w:val="20"/>
          <w:color w:val="auto"/>
        </w:rPr>
      </w:pPr>
    </w:p>
    <w:p>
      <w:pPr>
        <w:ind w:right="540" w:firstLine="648"/>
        <w:spacing w:after="0" w:line="277" w:lineRule="auto"/>
        <w:tabs>
          <w:tab w:leader="none" w:pos="8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 1 to the Registrant’s Registration Statement on Form S-1 filed with the Commission on October 26, 2026 (File No. 333-299405) which contains the Registrant’s audited financial statements for the latest fiscal year for which such statements have been filed;</w:t>
      </w:r>
    </w:p>
    <w:p>
      <w:pPr>
        <w:spacing w:after="0" w:line="163" w:lineRule="exact"/>
        <w:rPr>
          <w:rFonts w:ascii="Times New Roman" w:cs="Times New Roman" w:eastAsia="Times New Roman" w:hAnsi="Times New Roman"/>
          <w:sz w:val="18"/>
          <w:szCs w:val="18"/>
          <w:color w:val="auto"/>
        </w:rPr>
      </w:pPr>
    </w:p>
    <w:p>
      <w:pPr>
        <w:ind w:right="320" w:firstLine="648"/>
        <w:spacing w:after="0" w:line="277" w:lineRule="auto"/>
        <w:tabs>
          <w:tab w:leader="none" w:pos="8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Prospectus to be filed with the Commission on or about October 30, 2026 pursuant to Rule 424(b) under the Securities Act, relating to the Registration Statement on Form S-1, as amended (File No. 333-299405); and</w:t>
      </w:r>
    </w:p>
    <w:p>
      <w:pPr>
        <w:spacing w:after="0" w:line="163" w:lineRule="exact"/>
        <w:rPr>
          <w:sz w:val="20"/>
          <w:szCs w:val="20"/>
          <w:color w:val="auto"/>
        </w:rPr>
      </w:pPr>
    </w:p>
    <w:p>
      <w:pPr>
        <w:ind w:firstLine="648"/>
        <w:spacing w:after="0" w:line="262" w:lineRule="auto"/>
        <w:tabs>
          <w:tab w:leader="none" w:pos="8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contained in the Registrant’s Registration Statement on Form 8-A (File No. 001-43521), filed with the Commission on October 27, 2026 pursuant to Section 12(b) of the Securities Exchange Act of 1934, as amended (the “Exchange Act”), including any amendment or report filed for the purpose of updating such description.</w:t>
      </w:r>
    </w:p>
    <w:p>
      <w:pPr>
        <w:spacing w:after="0" w:line="1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filing of such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8"/>
          <w:szCs w:val="18"/>
          <w:color w:val="auto"/>
        </w:rPr>
        <w:t>Section 145 of the Delaware General Corporation Law (“DGCL”) authorizes a corporation’s board of directors to grant, and authorizes a court to award, indemnity to officers, directors, and other corporate agents.</w:t>
      </w:r>
    </w:p>
    <w:p>
      <w:pPr>
        <w:spacing w:after="0" w:line="16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have adopted an amended and restated certificate of incorporation, which will become effective upon the closing of this offering, and which will contain provisions that limit the liability of our directors and officers for monetary damages to the fullest extent permitted by the DGCL. Consequently, neither our directors nor officers will be personally liable to us or our stockholders for monetary damages for any breach of fiduciary duties as directors or officers, to the fullest extent permitted by law, except liability for the following:</w:t>
      </w:r>
    </w:p>
    <w:p>
      <w:pPr>
        <w:spacing w:after="0" w:line="195" w:lineRule="exact"/>
        <w:rPr>
          <w:sz w:val="20"/>
          <w:szCs w:val="20"/>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any breach of their duty of loyalty to our company or our stockholders;</w:t>
      </w:r>
    </w:p>
    <w:p>
      <w:pPr>
        <w:spacing w:after="0" w:line="26"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for our directors, unlawful payments of dividends or unlawful stock repurchases or redemptions as provided in Section 174 of the DGCL;</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any transaction from which they derived an improper personal benefit; or</w:t>
      </w:r>
    </w:p>
    <w:p>
      <w:pPr>
        <w:spacing w:after="0" w:line="19" w:lineRule="exact"/>
        <w:rPr>
          <w:rFonts w:ascii="Arial" w:cs="Arial" w:eastAsia="Arial" w:hAnsi="Arial"/>
          <w:sz w:val="18"/>
          <w:szCs w:val="18"/>
          <w:color w:val="auto"/>
        </w:rPr>
      </w:pPr>
    </w:p>
    <w:p>
      <w:pPr>
        <w:ind w:left="640" w:hanging="313"/>
        <w:spacing w:after="0"/>
        <w:tabs>
          <w:tab w:leader="none" w:pos="6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for our officers, any action by or in the right of the corporation.</w:t>
      </w:r>
    </w:p>
    <w:p>
      <w:pPr>
        <w:spacing w:after="0" w:line="21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or officers of corporations, then the personal liability of our directors will be further limited to the greatest extent permitted by the DGCL.</w:t>
      </w:r>
    </w:p>
    <w:p>
      <w:pPr>
        <w:spacing w:after="0" w:line="15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addition, our amended and restated bylaws, which will become effective as of the closing of this offering, and which will provide that we will indemnify our directors and officers, and may indemnify our employees, agents, and any other persons, to the fullest extent permitted by the DGCL. Our amended and restated bylaws will also provide that we must advance expenses incurred by or on behalf of a director or officer in advance of the final disposition of any action or proceeding, subject to limited exceptions.</w:t>
      </w:r>
    </w:p>
    <w:p>
      <w:pPr>
        <w:spacing w:after="0" w:line="182"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Further, 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will be included in our amended and restated certificate of incorporation, amended and restated bylaws and the indemnification agreements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00"/>
          </w:cols>
          <w:pgMar w:left="320" w:top="1400" w:right="379" w:bottom="1440" w:gutter="0" w:footer="0" w:header="0"/>
        </w:sectPr>
      </w:pPr>
    </w:p>
    <w:bookmarkStart w:id="3" w:name="page4"/>
    <w:bookmarkEnd w:id="3"/>
    <w:p>
      <w:pPr>
        <w:ind w:right="20"/>
        <w:spacing w:after="0" w:line="277"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25"/>
        </w:trPr>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Opinion of Wilson Sonsini Goodrich &amp; Rosati,</w:t>
            </w:r>
          </w:p>
        </w:tc>
        <w:tc>
          <w:tcPr>
            <w:tcW w:w="280" w:type="dxa"/>
            <w:vAlign w:val="bottom"/>
            <w:gridSpan w:val="4"/>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14"/>
        </w:trPr>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gridSpan w:val="5"/>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Professional Corporation</w:t>
            </w:r>
          </w:p>
        </w:tc>
        <w:tc>
          <w:tcPr>
            <w:tcW w:w="1840" w:type="dxa"/>
            <w:vAlign w:val="bottom"/>
            <w:gridSpan w:val="9"/>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tcBorders>
              <w:bottom w:val="single" w:sz="8" w:color="0000FF"/>
            </w:tcBorders>
            <w:gridSpan w:val="5"/>
            <w:vMerge w:val="continue"/>
          </w:tcPr>
          <w:p>
            <w:pPr>
              <w:spacing w:after="0"/>
              <w:rPr>
                <w:sz w:val="3"/>
                <w:szCs w:val="3"/>
                <w:color w:val="auto"/>
              </w:rPr>
            </w:pPr>
          </w:p>
        </w:tc>
        <w:tc>
          <w:tcPr>
            <w:tcW w:w="1840" w:type="dxa"/>
            <w:vAlign w:val="bottom"/>
            <w:gridSpan w:val="9"/>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PricewaterhouseCoopers LLP,</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60" w:type="dxa"/>
            <w:vAlign w:val="bottom"/>
            <w:gridSpan w:val="12"/>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Independent Registered Public Accounting Firm</w:t>
            </w:r>
          </w:p>
        </w:tc>
        <w:tc>
          <w:tcPr>
            <w:tcW w:w="180" w:type="dxa"/>
            <w:vAlign w:val="bottom"/>
            <w:gridSpan w:val="2"/>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60" w:type="dxa"/>
            <w:vAlign w:val="bottom"/>
            <w:tcBorders>
              <w:bottom w:val="single" w:sz="8" w:color="0000FF"/>
            </w:tcBorders>
            <w:gridSpan w:val="1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Wilson Sonsini Goodrich &amp; Rosati,</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4"/>
        </w:trPr>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tcBorders>
            <w:gridSpan w:val="10"/>
          </w:tcPr>
          <w:p>
            <w:pPr>
              <w:spacing w:after="0" w:line="154" w:lineRule="exact"/>
              <w:rPr>
                <w:sz w:val="20"/>
                <w:szCs w:val="20"/>
                <w:color w:val="auto"/>
              </w:rPr>
            </w:pPr>
            <w:r>
              <w:rPr>
                <w:rFonts w:ascii="Times New Roman" w:cs="Times New Roman" w:eastAsia="Times New Roman" w:hAnsi="Times New Roman"/>
                <w:sz w:val="17"/>
                <w:szCs w:val="17"/>
                <w:color w:val="0000FF"/>
              </w:rPr>
              <w:t>Professional Corporation (contained in Exhibit</w:t>
            </w:r>
          </w:p>
        </w:tc>
        <w:tc>
          <w:tcPr>
            <w:tcW w:w="2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0000FF"/>
              <w:bottom w:val="single" w:sz="8" w:color="0000FF"/>
            </w:tcBorders>
          </w:tcPr>
          <w:p>
            <w:pPr>
              <w:spacing w:after="0" w:line="167" w:lineRule="exact"/>
              <w:rPr>
                <w:sz w:val="20"/>
                <w:szCs w:val="20"/>
                <w:color w:val="auto"/>
              </w:rPr>
            </w:pPr>
            <w:r>
              <w:rPr>
                <w:rFonts w:ascii="Times New Roman" w:cs="Times New Roman" w:eastAsia="Times New Roman" w:hAnsi="Times New Roman"/>
                <w:sz w:val="18"/>
                <w:szCs w:val="18"/>
                <w:color w:val="0000FF"/>
                <w:w w:val="97"/>
              </w:rPr>
              <w:t>5.</w:t>
            </w:r>
            <w:r>
              <w:rPr>
                <w:rFonts w:ascii="Times New Roman" w:cs="Times New Roman" w:eastAsia="Times New Roman" w:hAnsi="Times New Roman"/>
                <w:sz w:val="18"/>
                <w:szCs w:val="18"/>
                <w:u w:val="single" w:color="auto"/>
                <w:color w:val="0000FF"/>
                <w:w w:val="97"/>
              </w:rPr>
              <w:t>1</w:t>
            </w:r>
            <w:r>
              <w:rPr>
                <w:rFonts w:ascii="Times New Roman" w:cs="Times New Roman" w:eastAsia="Times New Roman" w:hAnsi="Times New Roman"/>
                <w:sz w:val="18"/>
                <w:szCs w:val="18"/>
                <w:color w:val="0000FF"/>
                <w:w w:val="97"/>
              </w:rPr>
              <w:t xml:space="preserve"> hereto)</w:t>
            </w:r>
          </w:p>
        </w:tc>
        <w:tc>
          <w:tcPr>
            <w:tcW w:w="256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3"/>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14"/>
        </w:trPr>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top w:val="single" w:sz="8" w:color="0000FF"/>
            </w:tcBorders>
            <w:gridSpan w:val="3"/>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page hereto)</w:t>
            </w:r>
          </w:p>
        </w:tc>
        <w:tc>
          <w:tcPr>
            <w:tcW w:w="2320" w:type="dxa"/>
            <w:vAlign w:val="bottom"/>
            <w:tcBorders>
              <w:top w:val="single" w:sz="8" w:color="0000FF"/>
            </w:tcBorders>
            <w:gridSpan w:val="5"/>
            <w:vMerge w:val="restart"/>
          </w:tcPr>
          <w:p>
            <w:pPr>
              <w:spacing w:after="0"/>
              <w:rPr>
                <w:sz w:val="9"/>
                <w:szCs w:val="9"/>
                <w:color w:val="auto"/>
              </w:rPr>
            </w:pPr>
          </w:p>
        </w:tc>
        <w:tc>
          <w:tcPr>
            <w:tcW w:w="420" w:type="dxa"/>
            <w:vAlign w:val="bottom"/>
            <w:gridSpan w:val="6"/>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0000FF"/>
            </w:tcBorders>
            <w:gridSpan w:val="3"/>
            <w:vMerge w:val="continue"/>
          </w:tcPr>
          <w:p>
            <w:pPr>
              <w:spacing w:after="0"/>
              <w:rPr>
                <w:sz w:val="3"/>
                <w:szCs w:val="3"/>
                <w:color w:val="auto"/>
              </w:rPr>
            </w:pPr>
          </w:p>
        </w:tc>
        <w:tc>
          <w:tcPr>
            <w:tcW w:w="2320" w:type="dxa"/>
            <w:vAlign w:val="bottom"/>
            <w:gridSpan w:val="5"/>
            <w:vMerge w:val="continue"/>
          </w:tcPr>
          <w:p>
            <w:pPr>
              <w:spacing w:after="0"/>
              <w:rPr>
                <w:sz w:val="3"/>
                <w:szCs w:val="3"/>
                <w:color w:val="auto"/>
              </w:rPr>
            </w:pPr>
          </w:p>
        </w:tc>
        <w:tc>
          <w:tcPr>
            <w:tcW w:w="420" w:type="dxa"/>
            <w:vAlign w:val="bottom"/>
            <w:gridSpan w:val="6"/>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8"/>
              </w:rPr>
            </w:pPr>
            <w:hyperlink r:id="rId13">
              <w:r>
                <w:rPr>
                  <w:rFonts w:ascii="Times New Roman" w:cs="Times New Roman" w:eastAsia="Times New Roman" w:hAnsi="Times New Roman"/>
                  <w:sz w:val="18"/>
                  <w:szCs w:val="18"/>
                  <w:color w:val="0000FF"/>
                  <w:w w:val="98"/>
                </w:rPr>
                <w:t>2026 Equity Incentive Plan and related form</w:t>
              </w:r>
            </w:hyperlink>
          </w:p>
        </w:tc>
        <w:tc>
          <w:tcPr>
            <w:tcW w:w="460" w:type="dxa"/>
            <w:vAlign w:val="bottom"/>
            <w:gridSpan w:val="7"/>
          </w:tcPr>
          <w:p>
            <w:pPr>
              <w:spacing w:after="0"/>
              <w:rPr>
                <w:sz w:val="19"/>
                <w:szCs w:val="19"/>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333-299405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10/26/2026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restart"/>
          </w:tcPr>
          <w:p>
            <w:pPr>
              <w:spacing w:after="0" w:line="154" w:lineRule="exact"/>
              <w:rPr>
                <w:rFonts w:ascii="Times New Roman" w:cs="Times New Roman" w:eastAsia="Times New Roman" w:hAnsi="Times New Roman"/>
                <w:sz w:val="17"/>
                <w:szCs w:val="17"/>
                <w:color w:val="0000FF"/>
              </w:rPr>
            </w:pPr>
            <w:hyperlink r:id="rId13">
              <w:r>
                <w:rPr>
                  <w:rFonts w:ascii="Times New Roman" w:cs="Times New Roman" w:eastAsia="Times New Roman" w:hAnsi="Times New Roman"/>
                  <w:sz w:val="17"/>
                  <w:szCs w:val="17"/>
                  <w:color w:val="0000FF"/>
                </w:rPr>
                <w:t>agreements</w:t>
              </w:r>
            </w:hyperlink>
          </w:p>
        </w:tc>
        <w:tc>
          <w:tcPr>
            <w:tcW w:w="2820" w:type="dxa"/>
            <w:vAlign w:val="bottom"/>
            <w:gridSpan w:val="12"/>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0000FF"/>
            </w:tcBorders>
            <w:gridSpan w:val="2"/>
            <w:vMerge w:val="continue"/>
          </w:tcPr>
          <w:p>
            <w:pPr>
              <w:spacing w:after="0"/>
              <w:rPr>
                <w:sz w:val="3"/>
                <w:szCs w:val="3"/>
                <w:color w:val="auto"/>
              </w:rPr>
            </w:pPr>
          </w:p>
        </w:tc>
        <w:tc>
          <w:tcPr>
            <w:tcW w:w="2820" w:type="dxa"/>
            <w:vAlign w:val="bottom"/>
            <w:gridSpan w:val="12"/>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r:id="rId14">
              <w:r>
                <w:rPr>
                  <w:rFonts w:ascii="Times New Roman" w:cs="Times New Roman" w:eastAsia="Times New Roman" w:hAnsi="Times New Roman"/>
                  <w:sz w:val="18"/>
                  <w:szCs w:val="18"/>
                  <w:color w:val="0000FF"/>
                  <w:w w:val="98"/>
                </w:rPr>
                <w:t>2026 Employee Stock Purchase Plan and related</w:t>
              </w:r>
            </w:hyperlink>
          </w:p>
        </w:tc>
        <w:tc>
          <w:tcPr>
            <w:tcW w:w="180" w:type="dxa"/>
            <w:vAlign w:val="bottom"/>
            <w:gridSpan w:val="2"/>
          </w:tcPr>
          <w:p>
            <w:pPr>
              <w:spacing w:after="0"/>
              <w:rPr>
                <w:sz w:val="19"/>
                <w:szCs w:val="19"/>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333-299405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10/26/2026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40" w:type="dxa"/>
            <w:vAlign w:val="bottom"/>
            <w:gridSpan w:val="14"/>
            <w:vMerge w:val="restart"/>
          </w:tcPr>
          <w:p>
            <w:pPr>
              <w:spacing w:after="0" w:line="154" w:lineRule="exact"/>
              <w:rPr>
                <w:rFonts w:ascii="Times New Roman" w:cs="Times New Roman" w:eastAsia="Times New Roman" w:hAnsi="Times New Roman"/>
                <w:sz w:val="17"/>
                <w:szCs w:val="17"/>
                <w:color w:val="0000FF"/>
              </w:rPr>
            </w:pPr>
            <w:hyperlink r:id="rId14">
              <w:r>
                <w:rPr>
                  <w:rFonts w:ascii="Times New Roman" w:cs="Times New Roman" w:eastAsia="Times New Roman" w:hAnsi="Times New Roman"/>
                  <w:sz w:val="17"/>
                  <w:szCs w:val="17"/>
                  <w:color w:val="0000FF"/>
                </w:rPr>
                <w:t>form agreements</w:t>
              </w:r>
            </w:hyperlink>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40" w:type="dxa"/>
            <w:vAlign w:val="bottom"/>
            <w:gridSpan w:val="14"/>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right w:val="single" w:sz="8" w:color="0000FF"/>
            </w:tcBorders>
            <w:gridSpan w:val="4"/>
            <w:shd w:val="clear" w:color="auto" w:fill="0000FF"/>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8"/>
              </w:rPr>
            </w:pPr>
            <w:hyperlink r:id="rId15">
              <w:r>
                <w:rPr>
                  <w:rFonts w:ascii="Times New Roman" w:cs="Times New Roman" w:eastAsia="Times New Roman" w:hAnsi="Times New Roman"/>
                  <w:sz w:val="18"/>
                  <w:szCs w:val="18"/>
                  <w:color w:val="0000FF"/>
                  <w:w w:val="98"/>
                </w:rPr>
                <w:t>2024 Stock Plan, as amended, and related form</w:t>
              </w:r>
            </w:hyperlink>
          </w:p>
        </w:tc>
        <w:tc>
          <w:tcPr>
            <w:tcW w:w="260" w:type="dxa"/>
            <w:vAlign w:val="bottom"/>
            <w:gridSpan w:val="3"/>
          </w:tcPr>
          <w:p>
            <w:pPr>
              <w:spacing w:after="0"/>
              <w:rPr>
                <w:sz w:val="19"/>
                <w:szCs w:val="19"/>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333-299405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10/26/2026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restart"/>
          </w:tcPr>
          <w:p>
            <w:pPr>
              <w:spacing w:after="0" w:line="154" w:lineRule="exact"/>
              <w:rPr>
                <w:rFonts w:ascii="Times New Roman" w:cs="Times New Roman" w:eastAsia="Times New Roman" w:hAnsi="Times New Roman"/>
                <w:sz w:val="17"/>
                <w:szCs w:val="17"/>
                <w:color w:val="0000FF"/>
              </w:rPr>
            </w:pPr>
            <w:hyperlink r:id="rId15">
              <w:r>
                <w:rPr>
                  <w:rFonts w:ascii="Times New Roman" w:cs="Times New Roman" w:eastAsia="Times New Roman" w:hAnsi="Times New Roman"/>
                  <w:sz w:val="17"/>
                  <w:szCs w:val="17"/>
                  <w:color w:val="0000FF"/>
                </w:rPr>
                <w:t>agreements</w:t>
              </w:r>
            </w:hyperlink>
          </w:p>
        </w:tc>
        <w:tc>
          <w:tcPr>
            <w:tcW w:w="2820" w:type="dxa"/>
            <w:vAlign w:val="bottom"/>
            <w:gridSpan w:val="12"/>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0000FF"/>
            </w:tcBorders>
            <w:gridSpan w:val="2"/>
            <w:vMerge w:val="continue"/>
          </w:tcPr>
          <w:p>
            <w:pPr>
              <w:spacing w:after="0"/>
              <w:rPr>
                <w:sz w:val="3"/>
                <w:szCs w:val="3"/>
                <w:color w:val="auto"/>
              </w:rPr>
            </w:pPr>
          </w:p>
        </w:tc>
        <w:tc>
          <w:tcPr>
            <w:tcW w:w="2820" w:type="dxa"/>
            <w:vAlign w:val="bottom"/>
            <w:gridSpan w:val="12"/>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2440" w:type="dxa"/>
            <w:vAlign w:val="bottom"/>
            <w:gridSpan w:val="10"/>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900" w:hanging="252"/>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220" w:hanging="251"/>
        <w:spacing w:after="0"/>
        <w:tabs>
          <w:tab w:leader="none" w:pos="12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500" w:hanging="211"/>
        <w:spacing w:after="0"/>
        <w:tabs>
          <w:tab w:leader="none" w:pos="15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ind w:right="120" w:firstLine="1289"/>
        <w:spacing w:after="0" w:line="252" w:lineRule="auto"/>
        <w:tabs>
          <w:tab w:leader="none" w:pos="15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or “Calculation of Registration Fee” table, as applicable, in the effective registration statement; and</w:t>
      </w:r>
    </w:p>
    <w:p>
      <w:pPr>
        <w:spacing w:after="0" w:line="188" w:lineRule="exact"/>
        <w:rPr>
          <w:rFonts w:ascii="Times New Roman" w:cs="Times New Roman" w:eastAsia="Times New Roman" w:hAnsi="Times New Roman"/>
          <w:sz w:val="18"/>
          <w:szCs w:val="18"/>
          <w:color w:val="auto"/>
        </w:rPr>
      </w:pPr>
    </w:p>
    <w:p>
      <w:pPr>
        <w:ind w:right="60" w:firstLine="1289"/>
        <w:spacing w:after="0" w:line="277" w:lineRule="auto"/>
        <w:tabs>
          <w:tab w:leader="none" w:pos="159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4" w:right="339" w:bottom="1440" w:gutter="0" w:footer="0" w:header="0"/>
        </w:sectPr>
      </w:pPr>
    </w:p>
    <w:bookmarkStart w:id="4" w:name="page5"/>
    <w:bookmarkEnd w:id="4"/>
    <w:p>
      <w:pPr>
        <w:ind w:right="100"/>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ind w:firstLine="969"/>
        <w:spacing w:after="0" w:line="262" w:lineRule="auto"/>
        <w:tabs>
          <w:tab w:leader="none" w:pos="121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7" w:lineRule="exact"/>
        <w:rPr>
          <w:rFonts w:ascii="Times New Roman" w:cs="Times New Roman" w:eastAsia="Times New Roman" w:hAnsi="Times New Roman"/>
          <w:sz w:val="18"/>
          <w:szCs w:val="18"/>
          <w:color w:val="auto"/>
        </w:rPr>
      </w:pPr>
    </w:p>
    <w:p>
      <w:pPr>
        <w:ind w:right="400" w:firstLine="969"/>
        <w:spacing w:after="0" w:line="277" w:lineRule="auto"/>
        <w:tabs>
          <w:tab w:leader="none" w:pos="121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right="20" w:firstLine="648"/>
        <w:spacing w:after="0" w:line="277" w:lineRule="auto"/>
        <w:tabs>
          <w:tab w:leader="none" w:pos="89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6" w:lineRule="exact"/>
        <w:rPr>
          <w:rFonts w:ascii="Times New Roman" w:cs="Times New Roman" w:eastAsia="Times New Roman" w:hAnsi="Times New Roman"/>
          <w:sz w:val="17"/>
          <w:szCs w:val="17"/>
          <w:color w:val="auto"/>
        </w:rPr>
      </w:pPr>
    </w:p>
    <w:p>
      <w:pPr>
        <w:ind w:right="20" w:firstLine="648"/>
        <w:spacing w:after="0" w:line="270" w:lineRule="auto"/>
        <w:tabs>
          <w:tab w:leader="none" w:pos="88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40"/>
          </w:cols>
          <w:pgMar w:left="320" w:top="1402" w:right="4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October 29, 2026.</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BAMBUSA THERAPEUTICS, INC.</w:t>
            </w:r>
          </w:p>
        </w:tc>
        <w:tc>
          <w:tcPr>
            <w:tcW w:w="5620" w:type="dxa"/>
            <w:vAlign w:val="bottom"/>
          </w:tcPr>
          <w:p>
            <w:pPr>
              <w:spacing w:after="0"/>
              <w:rPr>
                <w:sz w:val="20"/>
                <w:szCs w:val="20"/>
                <w:color w:val="auto"/>
              </w:rPr>
            </w:pPr>
          </w:p>
        </w:tc>
      </w:tr>
      <w:tr>
        <w:trPr>
          <w:trHeight w:val="48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Shanshan Xu, M.D., Ph.D., M.B.A.</w:t>
            </w:r>
          </w:p>
        </w:tc>
      </w:tr>
      <w:tr>
        <w:trPr>
          <w:trHeight w:val="215"/>
        </w:trPr>
        <w:tc>
          <w:tcPr>
            <w:tcW w:w="53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Shanshan Xu, M.D., Ph.D., M.B.A.</w:t>
            </w:r>
          </w:p>
        </w:tc>
      </w:tr>
      <w:tr>
        <w:trPr>
          <w:trHeight w:val="233"/>
        </w:trPr>
        <w:tc>
          <w:tcPr>
            <w:tcW w:w="53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Chairperson</w:t>
            </w: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Shanshan Xu, M.D., Ph.D., M.B.A. and Jonathan I. Lieber, MB.A., and each of them, as his or her true and lawful attorneys-in-fact and agents, with full power of substitution and resubstitution, for them and in their name, place and stead, in any and all capacities, to sign any and all amendments to this registration statement, including post-effective amendments,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for all intents and purposes as they might or could do in person, hereby ratifying and confirming all that said attorneys-in-fact and agents or any of them, or their substitute or substitutes, may lawfully do or cause to be done by virtue hereof.</w:t>
      </w:r>
    </w:p>
    <w:p>
      <w:pPr>
        <w:spacing w:after="0" w:line="145"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20"/>
          </w:cols>
          <w:pgMar w:left="320" w:top="1400" w:right="359" w:bottom="1440" w:gutter="0" w:footer="0" w:header="0"/>
        </w:sectPr>
      </w:pPr>
    </w:p>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 Shanshan Xu, M.D.,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62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3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Shanshan Xu, M.D., Ph.D., M.B.A.</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Jonathan I. Lieber,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62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Jonathan Lieber, M.B.A.</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Derek DiRocco,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62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Derek DiRocco, Ph.D.</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Christian Foerster, M.Sc.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629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Christian Foerster, M.Sc.</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Helmut Jeggle,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629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Helmut Jeggle, M.B.A.</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 Howard Liang,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629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629535" cy="8255"/>
                    </a:xfrm>
                    <a:prstGeom prst="rect">
                      <a:avLst/>
                    </a:prstGeom>
                    <a:noFill/>
                  </pic:spPr>
                </pic:pic>
              </a:graphicData>
            </a:graphic>
          </wp:anchor>
        </w:drawing>
      </w:r>
    </w:p>
    <w:p>
      <w:pPr>
        <w:spacing w:after="0" w:line="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Howard Liang, Ph.D., M.B.A.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jc w:val="center"/>
              <w:ind w:right="533"/>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92"/>
        </w:trPr>
        <w:tc>
          <w:tcPr>
            <w:tcW w:w="4340" w:type="dxa"/>
            <w:vAlign w:val="bottom"/>
          </w:tcPr>
          <w:p>
            <w:pPr>
              <w:jc w:val="center"/>
              <w:ind w:right="553"/>
              <w:spacing w:after="0"/>
              <w:rPr>
                <w:sz w:val="20"/>
                <w:szCs w:val="20"/>
                <w:color w:val="auto"/>
              </w:rPr>
            </w:pPr>
            <w:r>
              <w:rPr>
                <w:rFonts w:ascii="Times New Roman" w:cs="Times New Roman" w:eastAsia="Times New Roman" w:hAnsi="Times New Roman"/>
                <w:sz w:val="18"/>
                <w:szCs w:val="18"/>
                <w:color w:val="auto"/>
                <w:w w:val="98"/>
              </w:rPr>
              <w:t>Chief Executive Officer, President, and Chairperson</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October 29,</w:t>
            </w:r>
          </w:p>
        </w:tc>
        <w:tc>
          <w:tcPr>
            <w:tcW w:w="0" w:type="dxa"/>
            <w:vAlign w:val="bottom"/>
          </w:tcPr>
          <w:p>
            <w:pPr>
              <w:spacing w:after="0"/>
              <w:rPr>
                <w:sz w:val="1"/>
                <w:szCs w:val="1"/>
                <w:color w:val="auto"/>
              </w:rPr>
            </w:pPr>
          </w:p>
        </w:tc>
      </w:tr>
      <w:tr>
        <w:trPr>
          <w:trHeight w:val="254"/>
        </w:trPr>
        <w:tc>
          <w:tcPr>
            <w:tcW w:w="4340" w:type="dxa"/>
            <w:vAlign w:val="bottom"/>
          </w:tcPr>
          <w:p>
            <w:pPr>
              <w:jc w:val="center"/>
              <w:ind w:right="553"/>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360"/>
        </w:trPr>
        <w:tc>
          <w:tcPr>
            <w:tcW w:w="4340" w:type="dxa"/>
            <w:vAlign w:val="bottom"/>
          </w:tcPr>
          <w:p>
            <w:pPr>
              <w:jc w:val="center"/>
              <w:ind w:right="553"/>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October 29,</w:t>
            </w:r>
          </w:p>
        </w:tc>
        <w:tc>
          <w:tcPr>
            <w:tcW w:w="0" w:type="dxa"/>
            <w:vAlign w:val="bottom"/>
          </w:tcPr>
          <w:p>
            <w:pPr>
              <w:spacing w:after="0"/>
              <w:rPr>
                <w:sz w:val="1"/>
                <w:szCs w:val="1"/>
                <w:color w:val="auto"/>
              </w:rPr>
            </w:pPr>
          </w:p>
        </w:tc>
      </w:tr>
      <w:tr>
        <w:trPr>
          <w:trHeight w:val="233"/>
        </w:trPr>
        <w:tc>
          <w:tcPr>
            <w:tcW w:w="434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382"/>
        </w:trPr>
        <w:tc>
          <w:tcPr>
            <w:tcW w:w="4340" w:type="dxa"/>
            <w:vAlign w:val="bottom"/>
            <w:vMerge w:val="restart"/>
          </w:tcPr>
          <w:p>
            <w:pPr>
              <w:jc w:val="center"/>
              <w:ind w:right="553"/>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October 29,</w:t>
            </w:r>
          </w:p>
        </w:tc>
        <w:tc>
          <w:tcPr>
            <w:tcW w:w="0" w:type="dxa"/>
            <w:vAlign w:val="bottom"/>
          </w:tcPr>
          <w:p>
            <w:pPr>
              <w:spacing w:after="0"/>
              <w:rPr>
                <w:sz w:val="1"/>
                <w:szCs w:val="1"/>
                <w:color w:val="auto"/>
              </w:rPr>
            </w:pPr>
          </w:p>
        </w:tc>
      </w:tr>
      <w:tr>
        <w:trPr>
          <w:trHeight w:val="148"/>
        </w:trPr>
        <w:tc>
          <w:tcPr>
            <w:tcW w:w="4340" w:type="dxa"/>
            <w:vAlign w:val="bottom"/>
            <w:vMerge w:val="continue"/>
          </w:tcPr>
          <w:p>
            <w:pPr>
              <w:spacing w:after="0"/>
              <w:rPr>
                <w:sz w:val="12"/>
                <w:szCs w:val="12"/>
                <w:color w:val="auto"/>
              </w:rPr>
            </w:pPr>
          </w:p>
        </w:tc>
        <w:tc>
          <w:tcPr>
            <w:tcW w:w="148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85"/>
        </w:trPr>
        <w:tc>
          <w:tcPr>
            <w:tcW w:w="43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4340" w:type="dxa"/>
            <w:vAlign w:val="bottom"/>
            <w:vMerge w:val="restart"/>
          </w:tcPr>
          <w:p>
            <w:pPr>
              <w:jc w:val="center"/>
              <w:ind w:right="553"/>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October 29,</w:t>
            </w:r>
          </w:p>
        </w:tc>
        <w:tc>
          <w:tcPr>
            <w:tcW w:w="0" w:type="dxa"/>
            <w:vAlign w:val="bottom"/>
          </w:tcPr>
          <w:p>
            <w:pPr>
              <w:spacing w:after="0"/>
              <w:rPr>
                <w:sz w:val="1"/>
                <w:szCs w:val="1"/>
                <w:color w:val="auto"/>
              </w:rPr>
            </w:pPr>
          </w:p>
        </w:tc>
      </w:tr>
      <w:tr>
        <w:trPr>
          <w:trHeight w:val="148"/>
        </w:trPr>
        <w:tc>
          <w:tcPr>
            <w:tcW w:w="4340" w:type="dxa"/>
            <w:vAlign w:val="bottom"/>
            <w:vMerge w:val="continue"/>
          </w:tcPr>
          <w:p>
            <w:pPr>
              <w:spacing w:after="0"/>
              <w:rPr>
                <w:sz w:val="12"/>
                <w:szCs w:val="12"/>
                <w:color w:val="auto"/>
              </w:rPr>
            </w:pPr>
          </w:p>
        </w:tc>
        <w:tc>
          <w:tcPr>
            <w:tcW w:w="148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85"/>
        </w:trPr>
        <w:tc>
          <w:tcPr>
            <w:tcW w:w="43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4340" w:type="dxa"/>
            <w:vAlign w:val="bottom"/>
            <w:vMerge w:val="restart"/>
          </w:tcPr>
          <w:p>
            <w:pPr>
              <w:jc w:val="center"/>
              <w:ind w:right="553"/>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October 29,</w:t>
            </w:r>
          </w:p>
        </w:tc>
        <w:tc>
          <w:tcPr>
            <w:tcW w:w="0" w:type="dxa"/>
            <w:vAlign w:val="bottom"/>
          </w:tcPr>
          <w:p>
            <w:pPr>
              <w:spacing w:after="0"/>
              <w:rPr>
                <w:sz w:val="1"/>
                <w:szCs w:val="1"/>
                <w:color w:val="auto"/>
              </w:rPr>
            </w:pPr>
          </w:p>
        </w:tc>
      </w:tr>
      <w:tr>
        <w:trPr>
          <w:trHeight w:val="148"/>
        </w:trPr>
        <w:tc>
          <w:tcPr>
            <w:tcW w:w="4340" w:type="dxa"/>
            <w:vAlign w:val="bottom"/>
            <w:vMerge w:val="continue"/>
          </w:tcPr>
          <w:p>
            <w:pPr>
              <w:spacing w:after="0"/>
              <w:rPr>
                <w:sz w:val="12"/>
                <w:szCs w:val="12"/>
                <w:color w:val="auto"/>
              </w:rPr>
            </w:pPr>
          </w:p>
        </w:tc>
        <w:tc>
          <w:tcPr>
            <w:tcW w:w="148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85"/>
        </w:trPr>
        <w:tc>
          <w:tcPr>
            <w:tcW w:w="43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4340" w:type="dxa"/>
            <w:vAlign w:val="bottom"/>
            <w:vMerge w:val="restart"/>
          </w:tcPr>
          <w:p>
            <w:pPr>
              <w:jc w:val="center"/>
              <w:ind w:right="553"/>
              <w:spacing w:after="0"/>
              <w:rPr>
                <w:sz w:val="20"/>
                <w:szCs w:val="20"/>
                <w:color w:val="auto"/>
              </w:rPr>
            </w:pPr>
            <w:r>
              <w:rPr>
                <w:rFonts w:ascii="Times New Roman" w:cs="Times New Roman" w:eastAsia="Times New Roman" w:hAnsi="Times New Roman"/>
                <w:sz w:val="18"/>
                <w:szCs w:val="18"/>
                <w:color w:val="auto"/>
                <w:w w:val="96"/>
              </w:rPr>
              <w:t>Director</w:t>
            </w:r>
          </w:p>
        </w:tc>
        <w:tc>
          <w:tcPr>
            <w:tcW w:w="14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October 29,</w:t>
            </w:r>
          </w:p>
        </w:tc>
        <w:tc>
          <w:tcPr>
            <w:tcW w:w="0" w:type="dxa"/>
            <w:vAlign w:val="bottom"/>
          </w:tcPr>
          <w:p>
            <w:pPr>
              <w:spacing w:after="0"/>
              <w:rPr>
                <w:sz w:val="1"/>
                <w:szCs w:val="1"/>
                <w:color w:val="auto"/>
              </w:rPr>
            </w:pPr>
          </w:p>
        </w:tc>
      </w:tr>
      <w:tr>
        <w:trPr>
          <w:trHeight w:val="148"/>
        </w:trPr>
        <w:tc>
          <w:tcPr>
            <w:tcW w:w="4340" w:type="dxa"/>
            <w:vAlign w:val="bottom"/>
            <w:vMerge w:val="continue"/>
          </w:tcPr>
          <w:p>
            <w:pPr>
              <w:spacing w:after="0"/>
              <w:rPr>
                <w:sz w:val="12"/>
                <w:szCs w:val="12"/>
                <w:color w:val="auto"/>
              </w:rPr>
            </w:pPr>
          </w:p>
        </w:tc>
        <w:tc>
          <w:tcPr>
            <w:tcW w:w="1480" w:type="dxa"/>
            <w:vAlign w:val="bottom"/>
            <w:vMerge w:val="restart"/>
          </w:tcPr>
          <w:p>
            <w:pPr>
              <w:jc w:val="center"/>
              <w:ind w:left="552"/>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85"/>
        </w:trPr>
        <w:tc>
          <w:tcPr>
            <w:tcW w:w="434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ectPr>
          <w:pgSz w:w="11900" w:h="16838" w:orient="portrait"/>
          <w:cols w:equalWidth="0" w:num="2">
            <w:col w:w="4320" w:space="720"/>
            <w:col w:w="6180"/>
          </w:cols>
          <w:pgMar w:left="320" w:top="140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00" w:right="359" w:bottom="1440" w:gutter="0" w:footer="0" w:header="0"/>
          <w:type w:val="continuous"/>
        </w:sectPr>
      </w:pPr>
    </w:p>
    <w:bookmarkStart w:id="6" w:name="page7"/>
    <w:bookmarkEnd w:id="6"/>
    <w:p>
      <w:pPr>
        <w:spacing w:after="0" w:line="62" w:lineRule="exact"/>
        <w:rPr>
          <w:sz w:val="20"/>
          <w:szCs w:val="20"/>
          <w:color w:val="auto"/>
        </w:rPr>
      </w:pPr>
    </w:p>
    <w:p>
      <w:pPr>
        <w:ind w:left="2265"/>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4645"/>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75"/>
        <w:spacing w:after="0"/>
        <w:rPr>
          <w:sz w:val="20"/>
          <w:szCs w:val="20"/>
          <w:color w:val="auto"/>
        </w:rPr>
      </w:pPr>
      <w:r>
        <w:rPr>
          <w:rFonts w:ascii="Arial" w:cs="Arial" w:eastAsia="Arial" w:hAnsi="Arial"/>
          <w:sz w:val="36"/>
          <w:szCs w:val="36"/>
          <w:b w:val="1"/>
          <w:bCs w:val="1"/>
          <w:color w:val="auto"/>
        </w:rPr>
        <w:t>Bambusa Therapeutics, Inc.</w:t>
      </w:r>
    </w:p>
    <w:p>
      <w:pPr>
        <w:spacing w:after="0" w:line="156" w:lineRule="exact"/>
        <w:rPr>
          <w:sz w:val="20"/>
          <w:szCs w:val="20"/>
          <w:color w:val="auto"/>
        </w:rPr>
      </w:pPr>
    </w:p>
    <w:p>
      <w:pPr>
        <w:jc w:val="center"/>
        <w:ind w:right="35"/>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40640</wp:posOffset>
            </wp:positionV>
            <wp:extent cx="6416675" cy="9220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416675" cy="9220200"/>
                    </a:xfrm>
                    <a:prstGeom prst="rect">
                      <a:avLst/>
                    </a:prstGeom>
                    <a:noFill/>
                  </pic:spPr>
                </pic:pic>
              </a:graphicData>
            </a:graphic>
          </wp:anchor>
        </w:drawing>
      </w:r>
    </w:p>
    <w:p>
      <w:pPr>
        <w:spacing w:after="0" w:line="71" w:lineRule="exact"/>
        <w:rPr>
          <w:sz w:val="20"/>
          <w:szCs w:val="20"/>
          <w:color w:val="auto"/>
        </w:rPr>
      </w:pPr>
    </w:p>
    <w:tbl>
      <w:tblPr>
        <w:tblLayout w:type="fixed"/>
        <w:tblInd w:w="165" w:type="dxa"/>
        <w:tblCellMar>
          <w:top w:w="0" w:type="dxa"/>
          <w:left w:w="0" w:type="dxa"/>
          <w:bottom w:w="0" w:type="dxa"/>
          <w:right w:w="0" w:type="dxa"/>
        </w:tblCellMar>
      </w:tblPr>
      <w:tr>
        <w:trPr>
          <w:trHeight w:val="241"/>
        </w:trPr>
        <w:tc>
          <w:tcPr>
            <w:tcW w:w="9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21"/>
                <w:szCs w:val="21"/>
                <w:color w:val="auto"/>
              </w:rPr>
            </w:pPr>
          </w:p>
        </w:tc>
        <w:tc>
          <w:tcPr>
            <w:tcW w:w="15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9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0" w:type="dxa"/>
            <w:vAlign w:val="bottom"/>
          </w:tcPr>
          <w:p>
            <w:pPr>
              <w:spacing w:after="0"/>
              <w:rPr>
                <w:sz w:val="1"/>
                <w:szCs w:val="1"/>
                <w:color w:val="auto"/>
              </w:rPr>
            </w:pPr>
          </w:p>
        </w:tc>
      </w:tr>
      <w:tr>
        <w:trPr>
          <w:trHeight w:val="215"/>
        </w:trPr>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920" w:type="dxa"/>
            <w:vAlign w:val="bottom"/>
            <w:shd w:val="clear" w:color="auto" w:fill="9ADAF6"/>
          </w:tcPr>
          <w:p>
            <w:pPr>
              <w:ind w:left="20"/>
              <w:spacing w:after="0" w:line="216"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0" w:type="dxa"/>
            <w:vAlign w:val="bottom"/>
          </w:tcPr>
          <w:p>
            <w:pPr>
              <w:spacing w:after="0"/>
              <w:rPr>
                <w:sz w:val="1"/>
                <w:szCs w:val="1"/>
                <w:color w:val="auto"/>
              </w:rPr>
            </w:pPr>
          </w:p>
        </w:tc>
      </w:tr>
      <w:tr>
        <w:trPr>
          <w:trHeight w:val="265"/>
        </w:trPr>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92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82"/>
        </w:trPr>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900" w:orient="portrait"/>
          <w:cols w:equalWidth="0" w:num="1">
            <w:col w:w="10005"/>
          </w:cols>
          <w:pgMar w:left="955" w:top="142" w:right="9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
        <w:spacing w:after="0"/>
        <w:rPr>
          <w:sz w:val="20"/>
          <w:szCs w:val="20"/>
          <w:color w:val="auto"/>
        </w:rPr>
      </w:pPr>
      <w:r>
        <w:rPr>
          <w:rFonts w:ascii="Arial" w:cs="Arial" w:eastAsia="Arial" w:hAnsi="Arial"/>
          <w:sz w:val="21"/>
          <w:szCs w:val="21"/>
          <w:color w:val="auto"/>
        </w:rPr>
        <w:t>1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
        <w:spacing w:after="0"/>
        <w:rPr>
          <w:sz w:val="20"/>
          <w:szCs w:val="20"/>
          <w:color w:val="auto"/>
        </w:rPr>
      </w:pPr>
      <w:r>
        <w:rPr>
          <w:rFonts w:ascii="Arial" w:cs="Arial" w:eastAsia="Arial" w:hAnsi="Arial"/>
          <w:sz w:val="21"/>
          <w:szCs w:val="21"/>
          <w:color w:val="auto"/>
        </w:rPr>
        <w:t>2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5" w:hanging="185"/>
        <w:spacing w:after="0"/>
        <w:tabs>
          <w:tab w:leader="none" w:pos="185" w:val="left"/>
        </w:tabs>
        <w:numPr>
          <w:ilvl w:val="0"/>
          <w:numId w:val="7"/>
        </w:numPr>
        <w:rPr>
          <w:rFonts w:ascii="Arial" w:cs="Arial" w:eastAsia="Arial" w:hAnsi="Arial"/>
          <w:sz w:val="20"/>
          <w:szCs w:val="20"/>
          <w:color w:val="auto"/>
        </w:rPr>
      </w:pPr>
      <w:r>
        <w:rPr>
          <w:rFonts w:ascii="Arial" w:cs="Arial" w:eastAsia="Arial" w:hAnsi="Arial"/>
          <w:sz w:val="20"/>
          <w:szCs w:val="20"/>
          <w:color w:val="auto"/>
        </w:rPr>
        <w:t>Equity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6" w:lineRule="exact"/>
        <w:rPr>
          <w:rFonts w:ascii="Arial" w:cs="Arial" w:eastAsia="Arial" w:hAnsi="Arial"/>
          <w:sz w:val="20"/>
          <w:szCs w:val="20"/>
          <w:color w:val="auto"/>
        </w:rPr>
      </w:pPr>
    </w:p>
    <w:p>
      <w:pPr>
        <w:ind w:left="5"/>
        <w:spacing w:after="0"/>
        <w:rPr>
          <w:rFonts w:ascii="Arial" w:cs="Arial" w:eastAsia="Arial" w:hAnsi="Arial"/>
          <w:sz w:val="20"/>
          <w:szCs w:val="20"/>
          <w:color w:val="auto"/>
        </w:rPr>
      </w:pPr>
      <w:r>
        <w:rPr>
          <w:rFonts w:ascii="Arial" w:cs="Arial" w:eastAsia="Arial" w:hAnsi="Arial"/>
          <w:sz w:val="21"/>
          <w:szCs w:val="21"/>
          <w:color w:val="auto"/>
        </w:rPr>
        <w:t>4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Stock, par</w:t>
      </w:r>
    </w:p>
    <w:p>
      <w:pPr>
        <w:spacing w:after="0" w:line="238" w:lineRule="auto"/>
        <w:rPr>
          <w:sz w:val="20"/>
          <w:szCs w:val="20"/>
          <w:color w:val="auto"/>
        </w:rPr>
      </w:pPr>
      <w:r>
        <w:rPr>
          <w:rFonts w:ascii="Arial" w:cs="Arial" w:eastAsia="Arial" w:hAnsi="Arial"/>
          <w:sz w:val="21"/>
          <w:szCs w:val="21"/>
          <w:color w:val="auto"/>
        </w:rPr>
        <w:t>value</w:t>
      </w:r>
    </w:p>
    <w:p>
      <w:pPr>
        <w:spacing w:after="0"/>
        <w:rPr>
          <w:sz w:val="20"/>
          <w:szCs w:val="20"/>
          <w:color w:val="auto"/>
        </w:rPr>
      </w:pPr>
      <w:r>
        <w:rPr>
          <w:rFonts w:ascii="Arial" w:cs="Arial" w:eastAsia="Arial" w:hAnsi="Arial"/>
          <w:sz w:val="21"/>
          <w:szCs w:val="21"/>
          <w:color w:val="auto"/>
        </w:rPr>
        <w:t>$0.00001</w:t>
      </w:r>
    </w:p>
    <w:p>
      <w:pPr>
        <w:spacing w:after="0" w:line="238" w:lineRule="auto"/>
        <w:rPr>
          <w:sz w:val="20"/>
          <w:szCs w:val="20"/>
          <w:color w:val="auto"/>
        </w:rPr>
      </w:pPr>
      <w:r>
        <w:rPr>
          <w:rFonts w:ascii="Arial" w:cs="Arial" w:eastAsia="Arial" w:hAnsi="Arial"/>
          <w:sz w:val="21"/>
          <w:szCs w:val="21"/>
          <w:color w:val="auto"/>
        </w:rPr>
        <w:t>per share,</w:t>
      </w:r>
    </w:p>
    <w:p>
      <w:pPr>
        <w:spacing w:after="0"/>
        <w:rPr>
          <w:sz w:val="20"/>
          <w:szCs w:val="20"/>
          <w:color w:val="auto"/>
        </w:rPr>
      </w:pPr>
      <w:r>
        <w:rPr>
          <w:rFonts w:ascii="Arial" w:cs="Arial" w:eastAsia="Arial" w:hAnsi="Arial"/>
          <w:sz w:val="21"/>
          <w:szCs w:val="21"/>
          <w:color w:val="auto"/>
        </w:rPr>
        <w:t>reserved</w:t>
      </w:r>
    </w:p>
    <w:p>
      <w:pPr>
        <w:spacing w:after="0" w:line="238" w:lineRule="auto"/>
        <w:rPr>
          <w:sz w:val="20"/>
          <w:szCs w:val="20"/>
          <w:color w:val="auto"/>
        </w:rPr>
      </w:pPr>
      <w:r>
        <w:rPr>
          <w:rFonts w:ascii="Arial" w:cs="Arial" w:eastAsia="Arial" w:hAnsi="Arial"/>
          <w:sz w:val="21"/>
          <w:szCs w:val="21"/>
          <w:color w:val="auto"/>
        </w:rPr>
        <w:t>for</w:t>
      </w:r>
    </w:p>
    <w:p>
      <w:pPr>
        <w:spacing w:after="0"/>
        <w:rPr>
          <w:sz w:val="20"/>
          <w:szCs w:val="20"/>
          <w:color w:val="auto"/>
        </w:rPr>
      </w:pPr>
      <w:r>
        <w:rPr>
          <w:rFonts w:ascii="Arial" w:cs="Arial" w:eastAsia="Arial" w:hAnsi="Arial"/>
          <w:sz w:val="21"/>
          <w:szCs w:val="21"/>
          <w:color w:val="auto"/>
        </w:rPr>
        <w:t>issuance</w:t>
      </w:r>
    </w:p>
    <w:p>
      <w:pPr>
        <w:spacing w:after="0" w:line="238"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1"/>
          <w:szCs w:val="21"/>
          <w:color w:val="auto"/>
        </w:rPr>
        <w:t>the 2026</w:t>
      </w:r>
    </w:p>
    <w:p>
      <w:pPr>
        <w:spacing w:after="0" w:line="238" w:lineRule="auto"/>
        <w:rPr>
          <w:sz w:val="20"/>
          <w:szCs w:val="20"/>
          <w:color w:val="auto"/>
        </w:rPr>
      </w:pPr>
      <w:r>
        <w:rPr>
          <w:rFonts w:ascii="Arial" w:cs="Arial" w:eastAsia="Arial" w:hAnsi="Arial"/>
          <w:sz w:val="21"/>
          <w:szCs w:val="21"/>
          <w:color w:val="auto"/>
        </w:rPr>
        <w:t>Equity</w:t>
      </w:r>
    </w:p>
    <w:p>
      <w:pPr>
        <w:spacing w:after="0"/>
        <w:rPr>
          <w:sz w:val="20"/>
          <w:szCs w:val="20"/>
          <w:color w:val="auto"/>
        </w:rPr>
      </w:pPr>
      <w:r>
        <w:rPr>
          <w:rFonts w:ascii="Arial" w:cs="Arial" w:eastAsia="Arial" w:hAnsi="Arial"/>
          <w:sz w:val="21"/>
          <w:szCs w:val="21"/>
          <w:color w:val="auto"/>
        </w:rPr>
        <w:t>Incentive</w:t>
      </w:r>
    </w:p>
    <w:p>
      <w:pPr>
        <w:spacing w:after="0"/>
        <w:rPr>
          <w:sz w:val="20"/>
          <w:szCs w:val="20"/>
          <w:color w:val="auto"/>
        </w:rPr>
      </w:pPr>
      <w:r>
        <w:rPr>
          <w:rFonts w:ascii="Arial" w:cs="Arial" w:eastAsia="Arial" w:hAnsi="Arial"/>
          <w:sz w:val="21"/>
          <w:szCs w:val="21"/>
          <w:color w:val="auto"/>
        </w:rPr>
        <w:t>Plan</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Stock, par</w:t>
      </w:r>
    </w:p>
    <w:p>
      <w:pPr>
        <w:spacing w:after="0" w:line="238" w:lineRule="auto"/>
        <w:rPr>
          <w:sz w:val="20"/>
          <w:szCs w:val="20"/>
          <w:color w:val="auto"/>
        </w:rPr>
      </w:pPr>
      <w:r>
        <w:rPr>
          <w:rFonts w:ascii="Arial" w:cs="Arial" w:eastAsia="Arial" w:hAnsi="Arial"/>
          <w:sz w:val="21"/>
          <w:szCs w:val="21"/>
          <w:color w:val="auto"/>
        </w:rPr>
        <w:t>value</w:t>
      </w:r>
    </w:p>
    <w:p>
      <w:pPr>
        <w:spacing w:after="0"/>
        <w:rPr>
          <w:sz w:val="20"/>
          <w:szCs w:val="20"/>
          <w:color w:val="auto"/>
        </w:rPr>
      </w:pPr>
      <w:r>
        <w:rPr>
          <w:rFonts w:ascii="Arial" w:cs="Arial" w:eastAsia="Arial" w:hAnsi="Arial"/>
          <w:sz w:val="21"/>
          <w:szCs w:val="21"/>
          <w:color w:val="auto"/>
        </w:rPr>
        <w:t>$0.00001</w:t>
      </w:r>
    </w:p>
    <w:p>
      <w:pPr>
        <w:spacing w:after="0" w:line="238" w:lineRule="auto"/>
        <w:rPr>
          <w:sz w:val="20"/>
          <w:szCs w:val="20"/>
          <w:color w:val="auto"/>
        </w:rPr>
      </w:pPr>
      <w:r>
        <w:rPr>
          <w:rFonts w:ascii="Arial" w:cs="Arial" w:eastAsia="Arial" w:hAnsi="Arial"/>
          <w:sz w:val="21"/>
          <w:szCs w:val="21"/>
          <w:color w:val="auto"/>
        </w:rPr>
        <w:t>per share,</w:t>
      </w:r>
    </w:p>
    <w:p>
      <w:pPr>
        <w:spacing w:after="0"/>
        <w:rPr>
          <w:sz w:val="20"/>
          <w:szCs w:val="20"/>
          <w:color w:val="auto"/>
        </w:rPr>
      </w:pPr>
      <w:r>
        <w:rPr>
          <w:rFonts w:ascii="Arial" w:cs="Arial" w:eastAsia="Arial" w:hAnsi="Arial"/>
          <w:sz w:val="21"/>
          <w:szCs w:val="21"/>
          <w:color w:val="auto"/>
        </w:rPr>
        <w:t>reserved</w:t>
      </w:r>
    </w:p>
    <w:p>
      <w:pPr>
        <w:spacing w:after="0" w:line="238" w:lineRule="auto"/>
        <w:rPr>
          <w:sz w:val="20"/>
          <w:szCs w:val="20"/>
          <w:color w:val="auto"/>
        </w:rPr>
      </w:pPr>
      <w:r>
        <w:rPr>
          <w:rFonts w:ascii="Arial" w:cs="Arial" w:eastAsia="Arial" w:hAnsi="Arial"/>
          <w:sz w:val="21"/>
          <w:szCs w:val="21"/>
          <w:color w:val="auto"/>
        </w:rPr>
        <w:t>for</w:t>
      </w:r>
    </w:p>
    <w:p>
      <w:pPr>
        <w:spacing w:after="0"/>
        <w:rPr>
          <w:sz w:val="20"/>
          <w:szCs w:val="20"/>
          <w:color w:val="auto"/>
        </w:rPr>
      </w:pPr>
      <w:r>
        <w:rPr>
          <w:rFonts w:ascii="Arial" w:cs="Arial" w:eastAsia="Arial" w:hAnsi="Arial"/>
          <w:sz w:val="21"/>
          <w:szCs w:val="21"/>
          <w:color w:val="auto"/>
        </w:rPr>
        <w:t>issuance</w:t>
      </w:r>
    </w:p>
    <w:p>
      <w:pPr>
        <w:spacing w:after="0" w:line="238"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1"/>
          <w:szCs w:val="21"/>
          <w:color w:val="auto"/>
        </w:rPr>
        <w:t>options</w:t>
      </w:r>
    </w:p>
    <w:p>
      <w:pPr>
        <w:spacing w:after="0" w:line="238" w:lineRule="auto"/>
        <w:rPr>
          <w:sz w:val="20"/>
          <w:szCs w:val="20"/>
          <w:color w:val="auto"/>
        </w:rPr>
      </w:pPr>
      <w:r>
        <w:rPr>
          <w:rFonts w:ascii="Arial" w:cs="Arial" w:eastAsia="Arial" w:hAnsi="Arial"/>
          <w:sz w:val="21"/>
          <w:szCs w:val="21"/>
          <w:color w:val="auto"/>
        </w:rPr>
        <w:t>outstanding</w:t>
      </w:r>
    </w:p>
    <w:p>
      <w:pPr>
        <w:spacing w:after="0"/>
        <w:rPr>
          <w:sz w:val="20"/>
          <w:szCs w:val="20"/>
          <w:color w:val="auto"/>
        </w:rPr>
      </w:pPr>
      <w:r>
        <w:rPr>
          <w:rFonts w:ascii="Arial" w:cs="Arial" w:eastAsia="Arial" w:hAnsi="Arial"/>
          <w:sz w:val="21"/>
          <w:szCs w:val="21"/>
          <w:color w:val="auto"/>
        </w:rPr>
        <w:t>under the</w:t>
      </w:r>
    </w:p>
    <w:p>
      <w:pPr>
        <w:spacing w:after="0" w:line="238" w:lineRule="auto"/>
        <w:rPr>
          <w:sz w:val="20"/>
          <w:szCs w:val="20"/>
          <w:color w:val="auto"/>
        </w:rPr>
      </w:pPr>
      <w:r>
        <w:rPr>
          <w:rFonts w:ascii="Arial" w:cs="Arial" w:eastAsia="Arial" w:hAnsi="Arial"/>
          <w:sz w:val="21"/>
          <w:szCs w:val="21"/>
          <w:color w:val="auto"/>
        </w:rPr>
        <w:t>2026</w:t>
      </w:r>
    </w:p>
    <w:p>
      <w:pPr>
        <w:spacing w:after="0"/>
        <w:rPr>
          <w:sz w:val="20"/>
          <w:szCs w:val="20"/>
          <w:color w:val="auto"/>
        </w:rPr>
      </w:pPr>
      <w:r>
        <w:rPr>
          <w:rFonts w:ascii="Arial" w:cs="Arial" w:eastAsia="Arial" w:hAnsi="Arial"/>
          <w:sz w:val="21"/>
          <w:szCs w:val="21"/>
          <w:color w:val="auto"/>
        </w:rPr>
        <w:t>Equity</w:t>
      </w:r>
    </w:p>
    <w:p>
      <w:pPr>
        <w:spacing w:after="0" w:line="238" w:lineRule="auto"/>
        <w:rPr>
          <w:sz w:val="20"/>
          <w:szCs w:val="20"/>
          <w:color w:val="auto"/>
        </w:rPr>
      </w:pPr>
      <w:r>
        <w:rPr>
          <w:rFonts w:ascii="Arial" w:cs="Arial" w:eastAsia="Arial" w:hAnsi="Arial"/>
          <w:sz w:val="21"/>
          <w:szCs w:val="21"/>
          <w:color w:val="auto"/>
        </w:rPr>
        <w:t>Incentive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Stock, par</w:t>
      </w:r>
    </w:p>
    <w:p>
      <w:pPr>
        <w:spacing w:after="0" w:line="238" w:lineRule="auto"/>
        <w:rPr>
          <w:sz w:val="20"/>
          <w:szCs w:val="20"/>
          <w:color w:val="auto"/>
        </w:rPr>
      </w:pPr>
      <w:r>
        <w:rPr>
          <w:rFonts w:ascii="Arial" w:cs="Arial" w:eastAsia="Arial" w:hAnsi="Arial"/>
          <w:sz w:val="21"/>
          <w:szCs w:val="21"/>
          <w:color w:val="auto"/>
        </w:rPr>
        <w:t>value</w:t>
      </w:r>
    </w:p>
    <w:p>
      <w:pPr>
        <w:spacing w:after="0"/>
        <w:rPr>
          <w:sz w:val="20"/>
          <w:szCs w:val="20"/>
          <w:color w:val="auto"/>
        </w:rPr>
      </w:pPr>
      <w:r>
        <w:rPr>
          <w:rFonts w:ascii="Arial" w:cs="Arial" w:eastAsia="Arial" w:hAnsi="Arial"/>
          <w:sz w:val="21"/>
          <w:szCs w:val="21"/>
          <w:color w:val="auto"/>
        </w:rPr>
        <w:t>$0.00001</w:t>
      </w:r>
    </w:p>
    <w:p>
      <w:pPr>
        <w:spacing w:after="0" w:line="238" w:lineRule="auto"/>
        <w:rPr>
          <w:sz w:val="20"/>
          <w:szCs w:val="20"/>
          <w:color w:val="auto"/>
        </w:rPr>
      </w:pPr>
      <w:r>
        <w:rPr>
          <w:rFonts w:ascii="Arial" w:cs="Arial" w:eastAsia="Arial" w:hAnsi="Arial"/>
          <w:sz w:val="21"/>
          <w:szCs w:val="21"/>
          <w:color w:val="auto"/>
        </w:rPr>
        <w:t>per share,</w:t>
      </w:r>
    </w:p>
    <w:p>
      <w:pPr>
        <w:spacing w:after="0"/>
        <w:rPr>
          <w:sz w:val="20"/>
          <w:szCs w:val="20"/>
          <w:color w:val="auto"/>
        </w:rPr>
      </w:pPr>
      <w:r>
        <w:rPr>
          <w:rFonts w:ascii="Arial" w:cs="Arial" w:eastAsia="Arial" w:hAnsi="Arial"/>
          <w:sz w:val="21"/>
          <w:szCs w:val="21"/>
          <w:color w:val="auto"/>
        </w:rPr>
        <w:t>reserved</w:t>
      </w:r>
    </w:p>
    <w:p>
      <w:pPr>
        <w:spacing w:after="0" w:line="238" w:lineRule="auto"/>
        <w:rPr>
          <w:sz w:val="20"/>
          <w:szCs w:val="20"/>
          <w:color w:val="auto"/>
        </w:rPr>
      </w:pPr>
      <w:r>
        <w:rPr>
          <w:rFonts w:ascii="Arial" w:cs="Arial" w:eastAsia="Arial" w:hAnsi="Arial"/>
          <w:sz w:val="21"/>
          <w:szCs w:val="21"/>
          <w:color w:val="auto"/>
        </w:rPr>
        <w:t>for</w:t>
      </w:r>
    </w:p>
    <w:p>
      <w:pPr>
        <w:spacing w:after="0"/>
        <w:rPr>
          <w:sz w:val="20"/>
          <w:szCs w:val="20"/>
          <w:color w:val="auto"/>
        </w:rPr>
      </w:pPr>
      <w:r>
        <w:rPr>
          <w:rFonts w:ascii="Arial" w:cs="Arial" w:eastAsia="Arial" w:hAnsi="Arial"/>
          <w:sz w:val="21"/>
          <w:szCs w:val="21"/>
          <w:color w:val="auto"/>
        </w:rPr>
        <w:t>issuance</w:t>
      </w:r>
    </w:p>
    <w:p>
      <w:pPr>
        <w:spacing w:after="0" w:line="238"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1"/>
          <w:szCs w:val="21"/>
          <w:color w:val="auto"/>
        </w:rPr>
        <w:t>the 2026</w:t>
      </w:r>
    </w:p>
    <w:p>
      <w:pPr>
        <w:spacing w:after="0" w:line="238" w:lineRule="auto"/>
        <w:rPr>
          <w:sz w:val="20"/>
          <w:szCs w:val="20"/>
          <w:color w:val="auto"/>
        </w:rPr>
      </w:pPr>
      <w:r>
        <w:rPr>
          <w:rFonts w:ascii="Arial" w:cs="Arial" w:eastAsia="Arial" w:hAnsi="Arial"/>
          <w:sz w:val="21"/>
          <w:szCs w:val="21"/>
          <w:color w:val="auto"/>
        </w:rPr>
        <w:t>Employee</w:t>
      </w:r>
    </w:p>
    <w:p>
      <w:pPr>
        <w:spacing w:after="0"/>
        <w:rPr>
          <w:sz w:val="20"/>
          <w:szCs w:val="20"/>
          <w:color w:val="auto"/>
        </w:rPr>
      </w:pPr>
      <w:r>
        <w:rPr>
          <w:rFonts w:ascii="Arial" w:cs="Arial" w:eastAsia="Arial" w:hAnsi="Arial"/>
          <w:sz w:val="21"/>
          <w:szCs w:val="21"/>
          <w:color w:val="auto"/>
        </w:rPr>
        <w:t>Stock</w:t>
      </w:r>
    </w:p>
    <w:p>
      <w:pPr>
        <w:spacing w:after="0" w:line="238" w:lineRule="auto"/>
        <w:rPr>
          <w:sz w:val="20"/>
          <w:szCs w:val="20"/>
          <w:color w:val="auto"/>
        </w:rPr>
      </w:pPr>
      <w:r>
        <w:rPr>
          <w:rFonts w:ascii="Arial" w:cs="Arial" w:eastAsia="Arial" w:hAnsi="Arial"/>
          <w:sz w:val="21"/>
          <w:szCs w:val="21"/>
          <w:color w:val="auto"/>
        </w:rPr>
        <w:t>Purchase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Plan</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Common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Stock, par</w:t>
      </w:r>
    </w:p>
    <w:p>
      <w:pPr>
        <w:spacing w:after="0" w:line="238" w:lineRule="auto"/>
        <w:rPr>
          <w:sz w:val="20"/>
          <w:szCs w:val="20"/>
          <w:color w:val="auto"/>
        </w:rPr>
      </w:pPr>
      <w:r>
        <w:rPr>
          <w:rFonts w:ascii="Arial" w:cs="Arial" w:eastAsia="Arial" w:hAnsi="Arial"/>
          <w:sz w:val="21"/>
          <w:szCs w:val="21"/>
          <w:color w:val="auto"/>
        </w:rPr>
        <w:t>value</w:t>
      </w:r>
    </w:p>
    <w:p>
      <w:pPr>
        <w:spacing w:after="0"/>
        <w:rPr>
          <w:sz w:val="20"/>
          <w:szCs w:val="20"/>
          <w:color w:val="auto"/>
        </w:rPr>
      </w:pPr>
      <w:r>
        <w:rPr>
          <w:rFonts w:ascii="Arial" w:cs="Arial" w:eastAsia="Arial" w:hAnsi="Arial"/>
          <w:sz w:val="21"/>
          <w:szCs w:val="21"/>
          <w:color w:val="auto"/>
        </w:rPr>
        <w:t>$0.00001</w:t>
      </w:r>
    </w:p>
    <w:p>
      <w:pPr>
        <w:spacing w:after="0" w:line="238" w:lineRule="auto"/>
        <w:rPr>
          <w:sz w:val="20"/>
          <w:szCs w:val="20"/>
          <w:color w:val="auto"/>
        </w:rPr>
      </w:pPr>
      <w:r>
        <w:rPr>
          <w:rFonts w:ascii="Arial" w:cs="Arial" w:eastAsia="Arial" w:hAnsi="Arial"/>
          <w:sz w:val="21"/>
          <w:szCs w:val="21"/>
          <w:color w:val="auto"/>
        </w:rPr>
        <w:t>per share,</w:t>
      </w:r>
    </w:p>
    <w:p>
      <w:pPr>
        <w:spacing w:after="0"/>
        <w:rPr>
          <w:sz w:val="20"/>
          <w:szCs w:val="20"/>
          <w:color w:val="auto"/>
        </w:rPr>
      </w:pPr>
      <w:r>
        <w:rPr>
          <w:rFonts w:ascii="Arial" w:cs="Arial" w:eastAsia="Arial" w:hAnsi="Arial"/>
          <w:sz w:val="21"/>
          <w:szCs w:val="21"/>
          <w:color w:val="auto"/>
        </w:rPr>
        <w:t>reserved</w:t>
      </w:r>
    </w:p>
    <w:p>
      <w:pPr>
        <w:spacing w:after="0" w:line="238" w:lineRule="auto"/>
        <w:rPr>
          <w:sz w:val="20"/>
          <w:szCs w:val="20"/>
          <w:color w:val="auto"/>
        </w:rPr>
      </w:pPr>
      <w:r>
        <w:rPr>
          <w:rFonts w:ascii="Arial" w:cs="Arial" w:eastAsia="Arial" w:hAnsi="Arial"/>
          <w:sz w:val="21"/>
          <w:szCs w:val="21"/>
          <w:color w:val="auto"/>
        </w:rPr>
        <w:t>for</w:t>
      </w:r>
    </w:p>
    <w:p>
      <w:pPr>
        <w:spacing w:after="0"/>
        <w:rPr>
          <w:sz w:val="20"/>
          <w:szCs w:val="20"/>
          <w:color w:val="auto"/>
        </w:rPr>
      </w:pPr>
      <w:r>
        <w:rPr>
          <w:rFonts w:ascii="Arial" w:cs="Arial" w:eastAsia="Arial" w:hAnsi="Arial"/>
          <w:sz w:val="21"/>
          <w:szCs w:val="21"/>
          <w:color w:val="auto"/>
        </w:rPr>
        <w:t>issuance</w:t>
      </w:r>
    </w:p>
    <w:p>
      <w:pPr>
        <w:spacing w:after="0" w:line="238" w:lineRule="auto"/>
        <w:rPr>
          <w:sz w:val="20"/>
          <w:szCs w:val="20"/>
          <w:color w:val="auto"/>
        </w:rPr>
      </w:pPr>
      <w:r>
        <w:rPr>
          <w:rFonts w:ascii="Arial" w:cs="Arial" w:eastAsia="Arial" w:hAnsi="Arial"/>
          <w:sz w:val="21"/>
          <w:szCs w:val="21"/>
          <w:color w:val="auto"/>
        </w:rPr>
        <w:t>pursuant to</w:t>
      </w:r>
    </w:p>
    <w:p>
      <w:pPr>
        <w:spacing w:after="0"/>
        <w:rPr>
          <w:sz w:val="20"/>
          <w:szCs w:val="20"/>
          <w:color w:val="auto"/>
        </w:rPr>
      </w:pPr>
      <w:r>
        <w:rPr>
          <w:rFonts w:ascii="Arial" w:cs="Arial" w:eastAsia="Arial" w:hAnsi="Arial"/>
          <w:sz w:val="21"/>
          <w:szCs w:val="21"/>
          <w:color w:val="auto"/>
        </w:rPr>
        <w:t>options</w:t>
      </w:r>
    </w:p>
    <w:p>
      <w:pPr>
        <w:spacing w:after="0"/>
        <w:rPr>
          <w:sz w:val="20"/>
          <w:szCs w:val="20"/>
          <w:color w:val="auto"/>
        </w:rPr>
      </w:pPr>
      <w:r>
        <w:rPr>
          <w:rFonts w:ascii="Arial" w:cs="Arial" w:eastAsia="Arial" w:hAnsi="Arial"/>
          <w:sz w:val="21"/>
          <w:szCs w:val="21"/>
          <w:color w:val="auto"/>
        </w:rPr>
        <w:t>outstanding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0"/>
        </w:trPr>
        <w:tc>
          <w:tcPr>
            <w:tcW w:w="1200" w:type="dxa"/>
            <w:vAlign w:val="bottom"/>
            <w:vMerge w:val="restart"/>
            <w:shd w:val="clear" w:color="auto" w:fill="E7E7E2"/>
          </w:tcPr>
          <w:p>
            <w:pPr>
              <w:ind w:left="320"/>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4"/>
                <w:szCs w:val="24"/>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5,519,849</w:t>
            </w:r>
          </w:p>
        </w:tc>
        <w:tc>
          <w:tcPr>
            <w:tcW w:w="20" w:type="dxa"/>
            <w:vAlign w:val="bottom"/>
          </w:tcPr>
          <w:p>
            <w:pPr>
              <w:spacing w:after="0"/>
              <w:rPr>
                <w:sz w:val="24"/>
                <w:szCs w:val="24"/>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$ 16.00</w:t>
            </w:r>
          </w:p>
        </w:tc>
        <w:tc>
          <w:tcPr>
            <w:tcW w:w="20" w:type="dxa"/>
            <w:vAlign w:val="bottom"/>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0.000087</w:t>
            </w:r>
          </w:p>
        </w:tc>
        <w:tc>
          <w:tcPr>
            <w:tcW w:w="40" w:type="dxa"/>
            <w:vAlign w:val="bottom"/>
          </w:tcPr>
          <w:p>
            <w:pPr>
              <w:spacing w:after="0"/>
              <w:rPr>
                <w:sz w:val="24"/>
                <w:szCs w:val="24"/>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$ 7,683.63</w:t>
            </w:r>
          </w:p>
        </w:tc>
        <w:tc>
          <w:tcPr>
            <w:tcW w:w="0" w:type="dxa"/>
            <w:vAlign w:val="bottom"/>
          </w:tcPr>
          <w:p>
            <w:pPr>
              <w:spacing w:after="0"/>
              <w:rPr>
                <w:sz w:val="1"/>
                <w:szCs w:val="1"/>
                <w:color w:val="auto"/>
              </w:rPr>
            </w:pPr>
          </w:p>
        </w:tc>
      </w:tr>
      <w:tr>
        <w:trPr>
          <w:trHeight w:val="281"/>
        </w:trPr>
        <w:tc>
          <w:tcPr>
            <w:tcW w:w="12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88,317,584.00</w:t>
            </w:r>
          </w:p>
        </w:tc>
        <w:tc>
          <w:tcPr>
            <w:tcW w:w="20" w:type="dxa"/>
            <w:vAlign w:val="bottom"/>
          </w:tcPr>
          <w:p>
            <w:pPr>
              <w:spacing w:after="0"/>
              <w:rPr>
                <w:sz w:val="24"/>
                <w:szCs w:val="24"/>
                <w:color w:val="auto"/>
              </w:rPr>
            </w:pPr>
          </w:p>
        </w:tc>
        <w:tc>
          <w:tcPr>
            <w:tcW w:w="92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vMerge w:val="continue"/>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1321"/>
        </w:trPr>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2"/>
        </w:trPr>
        <w:tc>
          <w:tcPr>
            <w:tcW w:w="1200" w:type="dxa"/>
            <w:vAlign w:val="bottom"/>
            <w:shd w:val="clear" w:color="auto" w:fill="E7E7E2"/>
          </w:tcPr>
          <w:p>
            <w:pPr>
              <w:ind w:left="320"/>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4"/>
                <w:szCs w:val="24"/>
                <w:color w:val="auto"/>
              </w:rPr>
            </w:pPr>
          </w:p>
        </w:tc>
        <w:tc>
          <w:tcPr>
            <w:tcW w:w="11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379,102</w:t>
            </w:r>
          </w:p>
        </w:tc>
        <w:tc>
          <w:tcPr>
            <w:tcW w:w="20" w:type="dxa"/>
            <w:vAlign w:val="bottom"/>
          </w:tcPr>
          <w:p>
            <w:pPr>
              <w:spacing w:after="0"/>
              <w:rPr>
                <w:sz w:val="24"/>
                <w:szCs w:val="24"/>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$ 16.00</w:t>
            </w:r>
          </w:p>
        </w:tc>
        <w:tc>
          <w:tcPr>
            <w:tcW w:w="20" w:type="dxa"/>
            <w:vAlign w:val="bottom"/>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$ 6,065,632.00</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0.000087</w:t>
            </w:r>
          </w:p>
        </w:tc>
        <w:tc>
          <w:tcPr>
            <w:tcW w:w="40" w:type="dxa"/>
            <w:vAlign w:val="bottom"/>
          </w:tcPr>
          <w:p>
            <w:pPr>
              <w:spacing w:after="0"/>
              <w:rPr>
                <w:sz w:val="24"/>
                <w:szCs w:val="24"/>
                <w:color w:val="auto"/>
              </w:rPr>
            </w:pPr>
          </w:p>
        </w:tc>
        <w:tc>
          <w:tcPr>
            <w:tcW w:w="14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$ 527.71</w:t>
            </w:r>
          </w:p>
        </w:tc>
      </w:tr>
      <w:tr>
        <w:trPr>
          <w:trHeight w:val="1802"/>
        </w:trPr>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1"/>
        </w:trPr>
        <w:tc>
          <w:tcPr>
            <w:tcW w:w="1200" w:type="dxa"/>
            <w:vAlign w:val="bottom"/>
            <w:shd w:val="clear" w:color="auto" w:fill="E7E7E2"/>
          </w:tcPr>
          <w:p>
            <w:pPr>
              <w:ind w:left="320"/>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4"/>
                <w:szCs w:val="24"/>
                <w:color w:val="auto"/>
              </w:rPr>
            </w:pPr>
          </w:p>
        </w:tc>
        <w:tc>
          <w:tcPr>
            <w:tcW w:w="11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505,469</w:t>
            </w:r>
          </w:p>
        </w:tc>
        <w:tc>
          <w:tcPr>
            <w:tcW w:w="20" w:type="dxa"/>
            <w:vAlign w:val="bottom"/>
          </w:tcPr>
          <w:p>
            <w:pPr>
              <w:spacing w:after="0"/>
              <w:rPr>
                <w:sz w:val="24"/>
                <w:szCs w:val="24"/>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$ 13.60</w:t>
            </w:r>
          </w:p>
        </w:tc>
        <w:tc>
          <w:tcPr>
            <w:tcW w:w="20" w:type="dxa"/>
            <w:vAlign w:val="bottom"/>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$ 6,874,378.40</w:t>
            </w:r>
          </w:p>
        </w:tc>
        <w:tc>
          <w:tcPr>
            <w:tcW w:w="20" w:type="dxa"/>
            <w:vAlign w:val="bottom"/>
          </w:tcPr>
          <w:p>
            <w:pPr>
              <w:spacing w:after="0"/>
              <w:rPr>
                <w:sz w:val="24"/>
                <w:szCs w:val="24"/>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0.000087</w:t>
            </w:r>
          </w:p>
        </w:tc>
        <w:tc>
          <w:tcPr>
            <w:tcW w:w="40" w:type="dxa"/>
            <w:vAlign w:val="bottom"/>
          </w:tcPr>
          <w:p>
            <w:pPr>
              <w:spacing w:after="0"/>
              <w:rPr>
                <w:sz w:val="24"/>
                <w:szCs w:val="24"/>
                <w:color w:val="auto"/>
              </w:rPr>
            </w:pPr>
          </w:p>
        </w:tc>
        <w:tc>
          <w:tcPr>
            <w:tcW w:w="14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$ 598.07</w:t>
            </w:r>
          </w:p>
        </w:tc>
      </w:tr>
      <w:tr>
        <w:trPr>
          <w:trHeight w:val="1562"/>
        </w:trPr>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0" w:type="dxa"/>
            <w:vAlign w:val="bottom"/>
            <w:shd w:val="clear" w:color="auto" w:fill="E7E7E2"/>
          </w:tcPr>
          <w:p>
            <w:pPr>
              <w:ind w:left="320"/>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1"/>
                <w:szCs w:val="21"/>
                <w:color w:val="auto"/>
              </w:rPr>
            </w:pPr>
          </w:p>
        </w:tc>
        <w:tc>
          <w:tcPr>
            <w:tcW w:w="11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3,167,754</w:t>
            </w:r>
          </w:p>
        </w:tc>
        <w:tc>
          <w:tcPr>
            <w:tcW w:w="20" w:type="dxa"/>
            <w:vAlign w:val="bottom"/>
          </w:tcPr>
          <w:p>
            <w:pPr>
              <w:spacing w:after="0"/>
              <w:rPr>
                <w:sz w:val="21"/>
                <w:szCs w:val="21"/>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$ 6.91</w:t>
            </w:r>
          </w:p>
        </w:tc>
        <w:tc>
          <w:tcPr>
            <w:tcW w:w="20" w:type="dxa"/>
            <w:vAlign w:val="bottom"/>
          </w:tcPr>
          <w:p>
            <w:pPr>
              <w:spacing w:after="0"/>
              <w:rPr>
                <w:sz w:val="21"/>
                <w:szCs w:val="21"/>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1"/>
                <w:szCs w:val="21"/>
                <w:color w:val="auto"/>
              </w:rPr>
            </w:pPr>
          </w:p>
        </w:tc>
        <w:tc>
          <w:tcPr>
            <w:tcW w:w="920" w:type="dxa"/>
            <w:vAlign w:val="bottom"/>
            <w:shd w:val="clear" w:color="auto" w:fill="E7E7E2"/>
          </w:tcPr>
          <w:p>
            <w:pPr>
              <w:jc w:val="right"/>
              <w:spacing w:after="0"/>
              <w:rPr>
                <w:sz w:val="20"/>
                <w:szCs w:val="20"/>
                <w:color w:val="auto"/>
              </w:rPr>
            </w:pPr>
            <w:r>
              <w:rPr>
                <w:rFonts w:ascii="Arial" w:cs="Arial" w:eastAsia="Arial" w:hAnsi="Arial"/>
                <w:sz w:val="21"/>
                <w:szCs w:val="21"/>
                <w:color w:val="auto"/>
              </w:rPr>
              <w:t>0.000087</w:t>
            </w:r>
          </w:p>
        </w:tc>
        <w:tc>
          <w:tcPr>
            <w:tcW w:w="40" w:type="dxa"/>
            <w:vAlign w:val="bottom"/>
          </w:tcPr>
          <w:p>
            <w:pPr>
              <w:spacing w:after="0"/>
              <w:rPr>
                <w:sz w:val="21"/>
                <w:szCs w:val="21"/>
                <w:color w:val="auto"/>
              </w:rPr>
            </w:pPr>
          </w:p>
        </w:tc>
        <w:tc>
          <w:tcPr>
            <w:tcW w:w="14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$ 1,904.36</w:t>
            </w:r>
          </w:p>
        </w:tc>
      </w:tr>
      <w:tr>
        <w:trPr>
          <w:trHeight w:val="281"/>
        </w:trPr>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21,889,180.14</w:t>
            </w: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r>
      <w:tr>
        <w:trPr>
          <w:trHeight w:val="2212"/>
        </w:trPr>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r>
    </w:tbl>
    <w:p>
      <w:pPr>
        <w:sectPr>
          <w:pgSz w:w="11900" w:h="16900" w:orient="portrait"/>
          <w:cols w:equalWidth="0" w:num="3">
            <w:col w:w="765" w:space="400"/>
            <w:col w:w="1100" w:space="40"/>
            <w:col w:w="7700"/>
          </w:cols>
          <w:pgMar w:left="955" w:top="142" w:right="939" w:bottom="0" w:gutter="0" w:footer="0" w:header="0"/>
          <w:type w:val="continuous"/>
        </w:sectPr>
      </w:pPr>
    </w:p>
    <w:bookmarkStart w:id="7" w:name="page8"/>
    <w:bookmarkEnd w:id="7"/>
    <w:p>
      <w:pPr>
        <w:spacing w:after="0" w:line="40"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-134620</wp:posOffset>
            </wp:positionV>
            <wp:extent cx="6416675" cy="383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416675" cy="3836035"/>
                    </a:xfrm>
                    <a:prstGeom prst="rect">
                      <a:avLst/>
                    </a:prstGeom>
                    <a:noFill/>
                  </pic:spPr>
                </pic:pic>
              </a:graphicData>
            </a:graphic>
          </wp:anchor>
        </w:drawing>
      </w:r>
    </w:p>
    <w:p>
      <w:pPr>
        <w:ind w:left="1180"/>
        <w:spacing w:after="0"/>
        <w:rPr>
          <w:sz w:val="20"/>
          <w:szCs w:val="20"/>
          <w:color w:val="auto"/>
        </w:rPr>
      </w:pPr>
      <w:r>
        <w:rPr>
          <w:rFonts w:ascii="Arial" w:cs="Arial" w:eastAsia="Arial" w:hAnsi="Arial"/>
          <w:sz w:val="21"/>
          <w:szCs w:val="21"/>
          <w:color w:val="auto"/>
        </w:rPr>
        <w:t>2024 Stock</w:t>
      </w:r>
    </w:p>
    <w:p>
      <w:pPr>
        <w:ind w:left="1180"/>
        <w:spacing w:after="0" w:line="238" w:lineRule="auto"/>
        <w:rPr>
          <w:sz w:val="20"/>
          <w:szCs w:val="20"/>
          <w:color w:val="auto"/>
        </w:rPr>
      </w:pPr>
      <w:r>
        <w:rPr>
          <w:rFonts w:ascii="Arial" w:cs="Arial" w:eastAsia="Arial" w:hAnsi="Arial"/>
          <w:sz w:val="21"/>
          <w:szCs w:val="21"/>
          <w:color w:val="auto"/>
        </w:rPr>
        <w:t>Plan, as</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amended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ind w:left="20"/>
              <w:spacing w:after="0"/>
              <w:rPr>
                <w:sz w:val="20"/>
                <w:szCs w:val="20"/>
                <w:color w:val="auto"/>
              </w:rPr>
            </w:pPr>
            <w:r>
              <w:rPr>
                <w:rFonts w:ascii="Arial" w:cs="Arial" w:eastAsia="Arial" w:hAnsi="Arial"/>
                <w:sz w:val="21"/>
                <w:szCs w:val="21"/>
                <w:color w:val="auto"/>
              </w:rPr>
              <w:t>Common</w:t>
            </w:r>
          </w:p>
        </w:tc>
        <w:tc>
          <w:tcPr>
            <w:tcW w:w="20" w:type="dxa"/>
            <w:vAlign w:val="bottom"/>
          </w:tcPr>
          <w:p>
            <w:pPr>
              <w:spacing w:after="0"/>
              <w:rPr>
                <w:sz w:val="21"/>
                <w:szCs w:val="21"/>
                <w:color w:val="auto"/>
              </w:rPr>
            </w:pPr>
          </w:p>
        </w:tc>
        <w:tc>
          <w:tcPr>
            <w:tcW w:w="960" w:type="dxa"/>
            <w:vAlign w:val="bottom"/>
            <w:shd w:val="clear" w:color="auto" w:fill="E7E7E2"/>
          </w:tcPr>
          <w:p>
            <w:pPr>
              <w:spacing w:after="0"/>
              <w:rPr>
                <w:sz w:val="21"/>
                <w:szCs w:val="21"/>
                <w:color w:val="auto"/>
              </w:rPr>
            </w:pPr>
          </w:p>
        </w:tc>
        <w:tc>
          <w:tcPr>
            <w:tcW w:w="2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shd w:val="clear" w:color="auto" w:fill="E7E7E2"/>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$0.00001</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reserved</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for</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issuance</w:t>
            </w:r>
          </w:p>
        </w:tc>
        <w:tc>
          <w:tcPr>
            <w:tcW w:w="20" w:type="dxa"/>
            <w:vAlign w:val="bottom"/>
          </w:tcPr>
          <w:p>
            <w:pPr>
              <w:spacing w:after="0"/>
              <w:rPr>
                <w:sz w:val="20"/>
                <w:szCs w:val="20"/>
                <w:color w:val="auto"/>
              </w:rPr>
            </w:pPr>
          </w:p>
        </w:tc>
        <w:tc>
          <w:tcPr>
            <w:tcW w:w="960" w:type="dxa"/>
            <w:vAlign w:val="bottom"/>
            <w:vMerge w:val="restart"/>
            <w:shd w:val="clear" w:color="auto" w:fill="E7E7E2"/>
          </w:tcPr>
          <w:p>
            <w:pPr>
              <w:ind w:left="320"/>
              <w:spacing w:after="0"/>
              <w:rPr>
                <w:sz w:val="20"/>
                <w:szCs w:val="20"/>
                <w:color w:val="auto"/>
              </w:rPr>
            </w:pPr>
            <w:r>
              <w:rPr>
                <w:rFonts w:ascii="Arial" w:cs="Arial" w:eastAsia="Arial" w:hAnsi="Arial"/>
                <w:sz w:val="21"/>
                <w:szCs w:val="21"/>
                <w:color w:val="auto"/>
              </w:rPr>
              <w:t>Other</w:t>
            </w: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701,797</w:t>
            </w:r>
          </w:p>
        </w:tc>
        <w:tc>
          <w:tcPr>
            <w:tcW w:w="20" w:type="dxa"/>
            <w:vAlign w:val="bottom"/>
          </w:tcPr>
          <w:p>
            <w:pPr>
              <w:spacing w:after="0"/>
              <w:rPr>
                <w:sz w:val="20"/>
                <w:szCs w:val="20"/>
                <w:color w:val="auto"/>
              </w:rPr>
            </w:pPr>
          </w:p>
        </w:tc>
        <w:tc>
          <w:tcPr>
            <w:tcW w:w="13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$ 16.00</w:t>
            </w: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0.000087</w:t>
            </w:r>
          </w:p>
        </w:tc>
        <w:tc>
          <w:tcPr>
            <w:tcW w:w="40" w:type="dxa"/>
            <w:vAlign w:val="bottom"/>
          </w:tcPr>
          <w:p>
            <w:pPr>
              <w:spacing w:after="0"/>
              <w:rPr>
                <w:sz w:val="20"/>
                <w:szCs w:val="2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$ 976.90</w:t>
            </w:r>
          </w:p>
        </w:tc>
        <w:tc>
          <w:tcPr>
            <w:tcW w:w="0" w:type="dxa"/>
            <w:vAlign w:val="bottom"/>
          </w:tcPr>
          <w:p>
            <w:pPr>
              <w:spacing w:after="0"/>
              <w:rPr>
                <w:sz w:val="1"/>
                <w:szCs w:val="1"/>
                <w:color w:val="auto"/>
              </w:rPr>
            </w:pPr>
          </w:p>
        </w:tc>
      </w:tr>
      <w:tr>
        <w:trPr>
          <w:trHeight w:val="240"/>
        </w:trPr>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pursuant to</w:t>
            </w: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11,228,752.00</w:t>
            </w:r>
          </w:p>
        </w:tc>
        <w:tc>
          <w:tcPr>
            <w:tcW w:w="20" w:type="dxa"/>
            <w:vAlign w:val="bottom"/>
          </w:tcPr>
          <w:p>
            <w:pPr>
              <w:spacing w:after="0"/>
              <w:rPr>
                <w:sz w:val="20"/>
                <w:szCs w:val="20"/>
                <w:color w:val="auto"/>
              </w:rPr>
            </w:pPr>
          </w:p>
        </w:tc>
        <w:tc>
          <w:tcPr>
            <w:tcW w:w="92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vMerge w:val="continue"/>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restricted</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units</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outstanding</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under the</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2024 Stock</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Plan, as</w:t>
            </w: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ind w:left="20"/>
              <w:spacing w:after="0"/>
              <w:rPr>
                <w:sz w:val="20"/>
                <w:szCs w:val="20"/>
                <w:color w:val="auto"/>
              </w:rPr>
            </w:pPr>
            <w:r>
              <w:rPr>
                <w:rFonts w:ascii="Arial" w:cs="Arial" w:eastAsia="Arial" w:hAnsi="Arial"/>
                <w:sz w:val="21"/>
                <w:szCs w:val="21"/>
                <w:color w:val="auto"/>
              </w:rPr>
              <w:t>amended</w:t>
            </w: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4"/>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$ 11,690.67</w:t>
            </w:r>
          </w:p>
        </w:tc>
        <w:tc>
          <w:tcPr>
            <w:tcW w:w="0" w:type="dxa"/>
            <w:vAlign w:val="bottom"/>
          </w:tcPr>
          <w:p>
            <w:pPr>
              <w:spacing w:after="0"/>
              <w:rPr>
                <w:sz w:val="1"/>
                <w:szCs w:val="1"/>
                <w:color w:val="auto"/>
              </w:rPr>
            </w:pPr>
          </w:p>
        </w:tc>
      </w:tr>
      <w:tr>
        <w:trPr>
          <w:trHeight w:val="281"/>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134,375,526.54</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$ 11,690.67</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20" w:right="160"/>
        <w:spacing w:after="0" w:line="244" w:lineRule="auto"/>
        <w:rPr>
          <w:sz w:val="20"/>
          <w:szCs w:val="20"/>
          <w:color w:val="auto"/>
        </w:rPr>
      </w:pPr>
      <w:r>
        <w:rPr>
          <w:rFonts w:ascii="Arial" w:cs="Arial" w:eastAsia="Arial" w:hAnsi="Arial"/>
          <w:sz w:val="21"/>
          <w:szCs w:val="21"/>
          <w:color w:val="auto"/>
        </w:rPr>
        <w:t>1A. Pursuant to Rule 416(a) of the Securities Act of 1933, as amended (the "Securities Act"), this registration statement on Form S-8 (the "Registration Statement") shall also cover any additional shares of the registrant's common stock, par value $0.00001 per share (the "Common Stock") that become issuable with respect to the securities identified in the above table under the registrant's 2026 Equity Incentive Plan (the "2026 EIP"), the 2026 Employee Stock Purchase Plan (the "ESPP") and the 2024 Stock Plan, as amended (the "2024 Plan") by reason of any stock dividend, stock split, recapitalization or other similar transaction effected without the registrant's receipt of consideration which results in an increase in the number of outstanding shares of Common Stock.</w:t>
      </w:r>
    </w:p>
    <w:p>
      <w:pPr>
        <w:spacing w:after="0" w:line="200" w:lineRule="exact"/>
        <w:rPr>
          <w:sz w:val="20"/>
          <w:szCs w:val="20"/>
          <w:color w:val="auto"/>
        </w:rPr>
      </w:pPr>
    </w:p>
    <w:p>
      <w:pPr>
        <w:ind w:left="220" w:right="60"/>
        <w:spacing w:after="0" w:line="245" w:lineRule="auto"/>
        <w:rPr>
          <w:sz w:val="20"/>
          <w:szCs w:val="20"/>
          <w:color w:val="auto"/>
        </w:rPr>
      </w:pPr>
      <w:r>
        <w:rPr>
          <w:rFonts w:ascii="Arial" w:cs="Arial" w:eastAsia="Arial" w:hAnsi="Arial"/>
          <w:sz w:val="21"/>
          <w:szCs w:val="21"/>
          <w:color w:val="auto"/>
        </w:rPr>
        <w:t>1B. Represents 5,519,849 shares of Common Stock reserved for issuance under the 2026 EIP, after deducting options granted thereunder, as of the date of this Registration Statement. The number of shares of Common Stock available for issuance under the 2026 EIP will be increased by any shares of Common Stock subject to awards outstanding under the 2024 Plan that, on or after the effectiveness of the 2026 Plan, expire or otherwise terminate without having been exercised in full or are forfeited to or repurchased by the Registrant due to failure to vest. The maximum number of shares that can be added to the 2026 EIP from the 2024 Plan is 3,869,551. See footnotes 4A and 5A below.</w:t>
      </w:r>
    </w:p>
    <w:p>
      <w:pPr>
        <w:spacing w:after="0" w:line="198" w:lineRule="exact"/>
        <w:rPr>
          <w:sz w:val="20"/>
          <w:szCs w:val="20"/>
          <w:color w:val="auto"/>
        </w:rPr>
      </w:pPr>
    </w:p>
    <w:p>
      <w:pPr>
        <w:ind w:left="220" w:right="80"/>
        <w:spacing w:after="0" w:line="252" w:lineRule="auto"/>
        <w:rPr>
          <w:sz w:val="20"/>
          <w:szCs w:val="20"/>
          <w:color w:val="auto"/>
        </w:rPr>
      </w:pPr>
      <w:r>
        <w:rPr>
          <w:rFonts w:ascii="Arial" w:cs="Arial" w:eastAsia="Arial" w:hAnsi="Arial"/>
          <w:sz w:val="21"/>
          <w:szCs w:val="21"/>
          <w:color w:val="auto"/>
        </w:rPr>
        <w:t>1C. Estimated in accordance with Rule 457(h) of the Securities Act solely for the purpose of calculating the registration fee on the basis of $16.00 per share, which is the initial public offering price set forth on the cover page of the Registrant's Prospectus dated October 29, 2026 relating to its initial public offering (the "IPO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72390</wp:posOffset>
            </wp:positionV>
            <wp:extent cx="6387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See footnote 1A.</w:t>
      </w:r>
    </w:p>
    <w:p>
      <w:pPr>
        <w:spacing w:after="0" w:line="239" w:lineRule="exact"/>
        <w:rPr>
          <w:sz w:val="20"/>
          <w:szCs w:val="20"/>
          <w:color w:val="auto"/>
        </w:rPr>
      </w:pPr>
    </w:p>
    <w:p>
      <w:pPr>
        <w:ind w:left="220" w:right="120"/>
        <w:spacing w:after="0" w:line="246" w:lineRule="auto"/>
        <w:rPr>
          <w:sz w:val="20"/>
          <w:szCs w:val="20"/>
          <w:color w:val="auto"/>
        </w:rPr>
      </w:pPr>
      <w:r>
        <w:rPr>
          <w:rFonts w:ascii="Arial" w:cs="Arial" w:eastAsia="Arial" w:hAnsi="Arial"/>
          <w:sz w:val="21"/>
          <w:szCs w:val="21"/>
          <w:color w:val="auto"/>
        </w:rPr>
        <w:t>2A. Represents 379,102 shares of Common Stock reserved for issuance pursuant to options outstanding under the 2026 Plan as of the date of this Registration Statement. To the extent that, on or after the effectiveness of the 2026 EIP, any shares subject to awards under the 2026 Plan expire or otherwise terminate without having been exercised in full or are forfeited to or repurchased by the Registrant due to failure to vest, the shares of Common Stock subject to such awards will become available for issuance under the 2026 EIP. See footnote 1B above.</w:t>
      </w:r>
    </w:p>
    <w:p>
      <w:pPr>
        <w:spacing w:after="0" w:line="198" w:lineRule="exact"/>
        <w:rPr>
          <w:sz w:val="20"/>
          <w:szCs w:val="20"/>
          <w:color w:val="auto"/>
        </w:rPr>
      </w:pPr>
    </w:p>
    <w:p>
      <w:pPr>
        <w:ind w:left="220" w:right="80"/>
        <w:spacing w:after="0" w:line="252" w:lineRule="auto"/>
        <w:rPr>
          <w:sz w:val="20"/>
          <w:szCs w:val="20"/>
          <w:color w:val="auto"/>
        </w:rPr>
      </w:pPr>
      <w:r>
        <w:rPr>
          <w:rFonts w:ascii="Arial" w:cs="Arial" w:eastAsia="Arial" w:hAnsi="Arial"/>
          <w:sz w:val="21"/>
          <w:szCs w:val="21"/>
          <w:color w:val="auto"/>
        </w:rPr>
        <w:t>2B. Estimated in accordance with Rule 457(h) of the Securities Act solely for the purpose of calculating the registration fee on the basis of $16.00 per share, which is the weighted-average exercise price of options to purchase Common Stock outstanding under the 2026 Plan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72390</wp:posOffset>
            </wp:positionV>
            <wp:extent cx="6387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3"/>
          <w:szCs w:val="13"/>
          <w:color w:val="auto"/>
        </w:rPr>
        <w:t>3</w:t>
      </w:r>
    </w:p>
    <w:p>
      <w:pPr>
        <w:sectPr>
          <w:pgSz w:w="11900" w:h="16879" w:orient="portrait"/>
          <w:cols w:equalWidth="0" w:num="1">
            <w:col w:w="10020"/>
          </w:cols>
          <w:pgMar w:left="940" w:top="111" w:right="939" w:bottom="0" w:gutter="0" w:footer="0" w:header="0"/>
        </w:sectPr>
      </w:pPr>
    </w:p>
    <w:p>
      <w:pPr>
        <w:spacing w:after="0" w:line="7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See footnote 1A.</w:t>
      </w:r>
    </w:p>
    <w:p>
      <w:pPr>
        <w:sectPr>
          <w:pgSz w:w="11900" w:h="16879" w:orient="portrait"/>
          <w:cols w:equalWidth="0" w:num="1">
            <w:col w:w="10020"/>
          </w:cols>
          <w:pgMar w:left="940" w:top="111" w:right="939" w:bottom="0" w:gutter="0" w:footer="0" w:header="0"/>
          <w:type w:val="continuous"/>
        </w:sectPr>
      </w:pPr>
    </w:p>
    <w:bookmarkStart w:id="8" w:name="page9"/>
    <w:bookmarkEnd w:id="8"/>
    <w:p>
      <w:pPr>
        <w:ind w:left="800"/>
        <w:spacing w:after="0"/>
        <w:rPr>
          <w:sz w:val="20"/>
          <w:szCs w:val="20"/>
          <w:color w:val="auto"/>
        </w:rPr>
      </w:pPr>
      <w:r>
        <w:rPr>
          <w:rFonts w:ascii="Arial" w:cs="Arial" w:eastAsia="Arial" w:hAnsi="Arial"/>
          <w:sz w:val="21"/>
          <w:szCs w:val="21"/>
          <w:color w:val="auto"/>
        </w:rPr>
        <w:t>3A. Represents the shares of Common Stock reserved for issuance under the ESPP.</w:t>
      </w:r>
    </w:p>
    <w:p>
      <w:pPr>
        <w:spacing w:after="0" w:line="239" w:lineRule="exact"/>
        <w:rPr>
          <w:sz w:val="20"/>
          <w:szCs w:val="20"/>
          <w:color w:val="auto"/>
        </w:rPr>
      </w:pPr>
    </w:p>
    <w:p>
      <w:pPr>
        <w:ind w:left="800" w:right="740"/>
        <w:spacing w:after="0" w:line="248" w:lineRule="auto"/>
        <w:rPr>
          <w:sz w:val="20"/>
          <w:szCs w:val="20"/>
          <w:color w:val="auto"/>
        </w:rPr>
      </w:pPr>
      <w:r>
        <w:rPr>
          <w:rFonts w:ascii="Arial" w:cs="Arial" w:eastAsia="Arial" w:hAnsi="Arial"/>
          <w:sz w:val="21"/>
          <w:szCs w:val="21"/>
          <w:color w:val="auto"/>
        </w:rPr>
        <w:t>3B. Estimated in accordance with Rule 457(h) of the Securities Act solely for the purpose of calculating the registration fee on the basis of 85% of $16.00, which is the IPO Price. Pursuant to the ESPP, the purchase price of the shares of Common Stock reserved for issuance thereunder will be 85% of the lower of the fair market value of the Common Stock on the first trading day of the offering period or on the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76835</wp:posOffset>
            </wp:positionV>
            <wp:extent cx="6387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96" w:lineRule="exact"/>
        <w:rPr>
          <w:sz w:val="20"/>
          <w:szCs w:val="20"/>
          <w:color w:val="auto"/>
        </w:rPr>
      </w:pPr>
    </w:p>
    <w:p>
      <w:pPr>
        <w:ind w:left="580"/>
        <w:spacing w:after="0"/>
        <w:rPr>
          <w:sz w:val="20"/>
          <w:szCs w:val="20"/>
          <w:color w:val="auto"/>
        </w:rPr>
      </w:pPr>
      <w:r>
        <w:rPr>
          <w:rFonts w:ascii="Arial" w:cs="Arial" w:eastAsia="Arial" w:hAnsi="Arial"/>
          <w:sz w:val="13"/>
          <w:szCs w:val="13"/>
          <w:color w:val="auto"/>
        </w:rPr>
        <w:t>4</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See footnote 1A.</w:t>
      </w:r>
    </w:p>
    <w:p>
      <w:pPr>
        <w:spacing w:after="0" w:line="239" w:lineRule="exact"/>
        <w:rPr>
          <w:sz w:val="20"/>
          <w:szCs w:val="20"/>
          <w:color w:val="auto"/>
        </w:rPr>
      </w:pPr>
    </w:p>
    <w:p>
      <w:pPr>
        <w:ind w:left="800" w:right="760"/>
        <w:spacing w:after="0" w:line="246" w:lineRule="auto"/>
        <w:rPr>
          <w:sz w:val="20"/>
          <w:szCs w:val="20"/>
          <w:color w:val="auto"/>
        </w:rPr>
      </w:pPr>
      <w:r>
        <w:rPr>
          <w:rFonts w:ascii="Arial" w:cs="Arial" w:eastAsia="Arial" w:hAnsi="Arial"/>
          <w:sz w:val="21"/>
          <w:szCs w:val="21"/>
          <w:color w:val="auto"/>
        </w:rPr>
        <w:t>4A. Represents 3,167,754 shares of Common Stock reserved for issuance pursuant to options outstanding under the 2024 Plan as of the date of this Registration Statement. To the extent that, on or after the effectiveness of the 2026 EIP, any shares subject to awards under the 2024 Plan expire or otherwise terminate without having been exercised in full or are forfeited to or repurchased by the Registrant due to failure to vest, the shares of Common Stock subject to such awards will become available for issuance under the 2026 EIP. See footnote 1B above.</w:t>
      </w:r>
    </w:p>
    <w:p>
      <w:pPr>
        <w:spacing w:after="0" w:line="198" w:lineRule="exact"/>
        <w:rPr>
          <w:sz w:val="20"/>
          <w:szCs w:val="20"/>
          <w:color w:val="auto"/>
        </w:rPr>
      </w:pPr>
    </w:p>
    <w:p>
      <w:pPr>
        <w:ind w:left="800" w:right="720"/>
        <w:spacing w:after="0" w:line="252" w:lineRule="auto"/>
        <w:rPr>
          <w:sz w:val="20"/>
          <w:szCs w:val="20"/>
          <w:color w:val="auto"/>
        </w:rPr>
      </w:pPr>
      <w:r>
        <w:rPr>
          <w:rFonts w:ascii="Arial" w:cs="Arial" w:eastAsia="Arial" w:hAnsi="Arial"/>
          <w:sz w:val="21"/>
          <w:szCs w:val="21"/>
          <w:color w:val="auto"/>
        </w:rPr>
        <w:t>4B. Estimated in accordance with Rule 457(h) of the Securities Act solely for the purpose of calculating the registration fee on the basis of $6.91 per share, which is the weighted-average exercise price of options to purchase Common Stock outstanding under the 2024 Plan as of the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3"/>
          <w:szCs w:val="13"/>
          <w:color w:val="auto"/>
        </w:rPr>
        <w:t>5</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21"/>
          <w:szCs w:val="21"/>
          <w:color w:val="auto"/>
        </w:rPr>
        <w:t>See footnote 1A.</w:t>
      </w:r>
    </w:p>
    <w:p>
      <w:pPr>
        <w:spacing w:after="0" w:line="239" w:lineRule="exact"/>
        <w:rPr>
          <w:sz w:val="20"/>
          <w:szCs w:val="20"/>
          <w:color w:val="auto"/>
        </w:rPr>
      </w:pPr>
    </w:p>
    <w:p>
      <w:pPr>
        <w:ind w:left="800" w:right="660"/>
        <w:spacing w:after="0" w:line="245" w:lineRule="auto"/>
        <w:rPr>
          <w:sz w:val="20"/>
          <w:szCs w:val="20"/>
          <w:color w:val="auto"/>
        </w:rPr>
      </w:pPr>
      <w:r>
        <w:rPr>
          <w:rFonts w:ascii="Arial" w:cs="Arial" w:eastAsia="Arial" w:hAnsi="Arial"/>
          <w:sz w:val="21"/>
          <w:szCs w:val="21"/>
          <w:color w:val="auto"/>
        </w:rPr>
        <w:t>5A. Represents 701,797 shares of Common Stock reserved for issuance pursuant to restricted stock units outstanding under the 2024 Plan as of the date of this Registration Statement. To the extent that, on or after the effectiveness of the 2026 EIP, any shares subject to awards under the 2024 Plan expire or otherwise terminate without having been issued in full, are tendered to or withheld by the Registrant for tax withholding obligations, or are forfeited to or repurchased by the Registrant due to failure to vest, the shares of Common Stock subject to such awards will become available for issuance under the 2026 EIP. See footnote 1B above.</w:t>
      </w:r>
    </w:p>
    <w:p>
      <w:pPr>
        <w:spacing w:after="0" w:line="198" w:lineRule="exact"/>
        <w:rPr>
          <w:sz w:val="20"/>
          <w:szCs w:val="20"/>
          <w:color w:val="auto"/>
        </w:rPr>
      </w:pPr>
    </w:p>
    <w:p>
      <w:pPr>
        <w:ind w:left="800" w:right="740"/>
        <w:spacing w:after="0" w:line="278" w:lineRule="auto"/>
        <w:rPr>
          <w:sz w:val="20"/>
          <w:szCs w:val="20"/>
          <w:color w:val="auto"/>
        </w:rPr>
      </w:pPr>
      <w:r>
        <w:rPr>
          <w:rFonts w:ascii="Arial" w:cs="Arial" w:eastAsia="Arial" w:hAnsi="Arial"/>
          <w:sz w:val="21"/>
          <w:szCs w:val="21"/>
          <w:color w:val="auto"/>
        </w:rPr>
        <w:t>5B. Estimated in accordance with Rule 457(h) of the Securities Act solely for the purpose of calculating the registration fee on the basis of $16.00 per share, which is the IPO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55880</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35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40"/>
        </w:trPr>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24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600" w:type="dxa"/>
            <w:vAlign w:val="bottom"/>
            <w:vMerge w:val="continue"/>
            <w:shd w:val="clear" w:color="auto" w:fill="9ADAF6"/>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shd w:val="clear" w:color="auto" w:fill="9ADAF6"/>
          </w:tcPr>
          <w:p>
            <w:pPr>
              <w:spacing w:after="0"/>
              <w:rPr>
                <w:sz w:val="6"/>
                <w:szCs w:val="6"/>
                <w:color w:val="auto"/>
              </w:rPr>
            </w:pPr>
          </w:p>
        </w:tc>
        <w:tc>
          <w:tcPr>
            <w:tcW w:w="0" w:type="dxa"/>
            <w:vAlign w:val="bottom"/>
          </w:tcPr>
          <w:p>
            <w:pPr>
              <w:spacing w:after="0"/>
              <w:rPr>
                <w:sz w:val="1"/>
                <w:szCs w:val="1"/>
                <w:color w:val="auto"/>
              </w:rPr>
            </w:pPr>
          </w:p>
        </w:tc>
      </w:tr>
      <w:tr>
        <w:trPr>
          <w:trHeight w:val="468"/>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354" w:right="29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781685</wp:posOffset>
            </wp:positionV>
            <wp:extent cx="1221740" cy="4578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21740"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380"/>
        <w:spacing w:after="0"/>
        <w:rPr>
          <w:sz w:val="20"/>
          <w:szCs w:val="20"/>
          <w:color w:val="auto"/>
        </w:rPr>
      </w:pPr>
      <w:r>
        <w:rPr>
          <w:rFonts w:ascii="Georgia" w:cs="Georgia" w:eastAsia="Georgia" w:hAnsi="Georgia"/>
          <w:sz w:val="14"/>
          <w:szCs w:val="14"/>
          <w:color w:val="003D4C"/>
        </w:rPr>
        <w:t>Wilson Sonsini Goodrich &amp; Rosati</w:t>
      </w:r>
    </w:p>
    <w:p>
      <w:pPr>
        <w:spacing w:after="0" w:line="15" w:lineRule="exact"/>
        <w:rPr>
          <w:sz w:val="20"/>
          <w:szCs w:val="20"/>
          <w:color w:val="auto"/>
        </w:rPr>
      </w:pPr>
    </w:p>
    <w:p>
      <w:pPr>
        <w:ind w:left="8380"/>
        <w:spacing w:after="0"/>
        <w:rPr>
          <w:sz w:val="20"/>
          <w:szCs w:val="20"/>
          <w:color w:val="auto"/>
        </w:rPr>
      </w:pPr>
      <w:r>
        <w:rPr>
          <w:rFonts w:ascii="Georgia" w:cs="Georgia" w:eastAsia="Georgia" w:hAnsi="Georgia"/>
          <w:sz w:val="14"/>
          <w:szCs w:val="14"/>
          <w:color w:val="003D4C"/>
        </w:rPr>
        <w:t>Professional Corporation</w:t>
      </w:r>
    </w:p>
    <w:p>
      <w:pPr>
        <w:spacing w:after="0" w:line="81" w:lineRule="exact"/>
        <w:rPr>
          <w:sz w:val="20"/>
          <w:szCs w:val="20"/>
          <w:color w:val="auto"/>
        </w:rPr>
      </w:pPr>
    </w:p>
    <w:p>
      <w:pPr>
        <w:ind w:left="8380"/>
        <w:spacing w:after="0"/>
        <w:rPr>
          <w:sz w:val="20"/>
          <w:szCs w:val="20"/>
          <w:color w:val="auto"/>
        </w:rPr>
      </w:pPr>
      <w:r>
        <w:rPr>
          <w:rFonts w:ascii="Georgia" w:cs="Georgia" w:eastAsia="Georgia" w:hAnsi="Georgia"/>
          <w:sz w:val="14"/>
          <w:szCs w:val="14"/>
          <w:color w:val="003D4C"/>
        </w:rPr>
        <w:t>201 Washington Street, Suite 2000</w:t>
      </w:r>
    </w:p>
    <w:p>
      <w:pPr>
        <w:spacing w:after="0" w:line="15" w:lineRule="exact"/>
        <w:rPr>
          <w:sz w:val="20"/>
          <w:szCs w:val="20"/>
          <w:color w:val="auto"/>
        </w:rPr>
      </w:pPr>
    </w:p>
    <w:p>
      <w:pPr>
        <w:ind w:left="8380"/>
        <w:spacing w:after="0"/>
        <w:rPr>
          <w:sz w:val="20"/>
          <w:szCs w:val="20"/>
          <w:color w:val="auto"/>
        </w:rPr>
      </w:pPr>
      <w:r>
        <w:rPr>
          <w:rFonts w:ascii="Georgia" w:cs="Georgia" w:eastAsia="Georgia" w:hAnsi="Georgia"/>
          <w:sz w:val="14"/>
          <w:szCs w:val="14"/>
          <w:color w:val="003D4C"/>
        </w:rPr>
        <w:t>Boston, Massachusetts 02108</w:t>
      </w:r>
    </w:p>
    <w:p>
      <w:pPr>
        <w:spacing w:after="0" w:line="81" w:lineRule="exact"/>
        <w:rPr>
          <w:sz w:val="20"/>
          <w:szCs w:val="20"/>
          <w:color w:val="auto"/>
        </w:rPr>
      </w:pPr>
    </w:p>
    <w:p>
      <w:pPr>
        <w:ind w:left="8380"/>
        <w:spacing w:after="0"/>
        <w:rPr>
          <w:sz w:val="20"/>
          <w:szCs w:val="20"/>
          <w:color w:val="auto"/>
        </w:rPr>
      </w:pPr>
      <w:r>
        <w:rPr>
          <w:rFonts w:ascii="Georgia" w:cs="Georgia" w:eastAsia="Georgia" w:hAnsi="Georgia"/>
          <w:sz w:val="14"/>
          <w:szCs w:val="14"/>
          <w:color w:val="003D4C"/>
        </w:rPr>
        <w:t>o: 617.598.7800</w:t>
      </w:r>
    </w:p>
    <w:p>
      <w:pPr>
        <w:spacing w:after="0" w:line="15" w:lineRule="exact"/>
        <w:rPr>
          <w:sz w:val="20"/>
          <w:szCs w:val="20"/>
          <w:color w:val="auto"/>
        </w:rPr>
      </w:pPr>
    </w:p>
    <w:p>
      <w:pPr>
        <w:ind w:left="8380"/>
        <w:spacing w:after="0"/>
        <w:rPr>
          <w:sz w:val="20"/>
          <w:szCs w:val="20"/>
          <w:color w:val="auto"/>
        </w:rPr>
      </w:pPr>
      <w:r>
        <w:rPr>
          <w:rFonts w:ascii="Georgia" w:cs="Georgia" w:eastAsia="Georgia" w:hAnsi="Georgia"/>
          <w:sz w:val="14"/>
          <w:szCs w:val="14"/>
          <w:color w:val="003D4C"/>
        </w:rPr>
        <w:t>f: 866.974.7329</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29,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Bambusa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Boston Wharf Road, Floor 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02210</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by Bambusa Therapeutics, Inc., a Delaware corporation, with the Securities and Exchange Commission on or about the date hereof, in connection with the registration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an aggregate of 10,273,971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$0.00001 per share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consisting of: (i) 5,519,849 shares of Common Stock reserved for issuance pursuant to the 2026 Equity Incentive Plan, (ii) 379,102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are subject to currently outstanding options under the 2026 Equity Incentive Plan, (iii) 505,469 shares of Common Stock reserved for issuance pursuant to the 2026 Employee Stock Purchase Plan, (iv) 3,167,754 shares of Common Stock that are subject to currently outstanding options under the 2024 Stock Plan, as amended, and (v) 701,797 shares of Common Stock that are subject to restricted stock units outstanding under the 2024 Stock Plan, as amended (which plans are referred to herein as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described in the Plans and pursuant to the agreements that accompany the Plans, will be legally and validly issued, fully paid and nonassessable.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240"/>
          </w:cols>
          <w:pgMar w:left="320" w:top="117" w:right="339" w:bottom="1440" w:gutter="0" w:footer="0" w:header="0"/>
        </w:sectPr>
      </w:pPr>
    </w:p>
    <w:bookmarkStart w:id="10" w:name="page11"/>
    <w:bookmarkEnd w:id="10"/>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and in any amendments thereto. In giving such consent, we do not thereby admit that we are in the category of persons whose consent is required under Section 7 of the Act or the rules and regulations of the Commission thereunder.</w:t>
      </w:r>
    </w:p>
    <w:p>
      <w:pPr>
        <w:spacing w:after="0" w:line="2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ectPr>
          <w:pgSz w:w="11900" w:h="16838" w:orient="portrait"/>
          <w:cols w:equalWidth="0" w:num="1">
            <w:col w:w="11160"/>
          </w:cols>
          <w:pgMar w:left="320" w:top="1404" w:right="419" w:bottom="1440" w:gutter="0" w:footer="0" w:header="0"/>
        </w:sectPr>
      </w:pPr>
    </w:p>
    <w:bookmarkStart w:id="11" w:name="page12"/>
    <w:bookmarkEnd w:id="11"/>
    <w:p>
      <w:pPr>
        <w:ind w:left="1032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ind w:right="60"/>
        <w:spacing w:after="0" w:line="249" w:lineRule="auto"/>
        <w:rPr>
          <w:sz w:val="20"/>
          <w:szCs w:val="20"/>
          <w:color w:val="auto"/>
        </w:rPr>
      </w:pPr>
      <w:r>
        <w:rPr>
          <w:rFonts w:ascii="Georgia" w:cs="Georgia" w:eastAsia="Georgia" w:hAnsi="Georgia"/>
          <w:sz w:val="18"/>
          <w:szCs w:val="18"/>
          <w:color w:val="auto"/>
        </w:rPr>
        <w:t>We hereby consent to the incorporation by reference in this Registration Statement on Form S-8 of Bambusa Therapeutics, Inc. of our report dated August 3, 2026, except for the effects of the stock split discussed in Note 17 to the consolidated financial statements, as to which the date is October 26, 2026, relating to the financial statements, which appears in Bambusa Therapeutic, Inc.'s Amendment No. 1 to the Registration Statement on Form S-1 (No. 333-299405).</w:t>
      </w:r>
    </w:p>
    <w:p>
      <w:pPr>
        <w:spacing w:after="0" w:line="21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9"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Georgia" w:cs="Georgia" w:eastAsia="Georgia" w:hAnsi="Georgia"/>
          <w:sz w:val="18"/>
          <w:szCs w:val="18"/>
          <w:color w:val="auto"/>
        </w:rPr>
        <w:t>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decimal"/>
      <w:start w:val="2"/>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jpeg"/><Relationship Id="rId13" Type="http://schemas.openxmlformats.org/officeDocument/2006/relationships/hyperlink" Target="https://www.sec.gov/Archives/edgar/data/2044950/000162828026067119/exhibit102-sx1a1.htm" TargetMode="External"/><Relationship Id="rId14" Type="http://schemas.openxmlformats.org/officeDocument/2006/relationships/hyperlink" Target="https://www.sec.gov/Archives/edgar/data/2044950/000162828026067119/exhibit103-sx1a1.htm" TargetMode="External"/><Relationship Id="rId15" Type="http://schemas.openxmlformats.org/officeDocument/2006/relationships/hyperlink" Target="https://www.sec.gov/Archives/edgar/data/2044950/000162828026067119/exhibit104-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2026-10-30T05:17:03Z</dcterms:created>
  <dcterms:modified xsi:type="dcterms:W3CDTF">2026-10-30T05:17:03Z</dcterms:modified>
</cp:coreProperties>
</file>