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47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477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 Minh Quoc Thang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2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10/29/2026</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Bambusa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BBTX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461"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57"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C/O BAMBUSA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 BOSTON WHARF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 7</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7"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8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12/18/2034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5"/>
              </w:rPr>
              <w:t>103,891</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0.34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12/18/2034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5"/>
              </w:rPr>
              <w:t>141,290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0.34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12/18/2034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8"/>
              </w:rPr>
              <w:t>23,172</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0.34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12/18/2034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8"/>
              </w:rPr>
              <w:t>15,448</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0.34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08/15/2035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5"/>
              </w:rPr>
              <w:t>128,503</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09/17/2036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5"/>
              </w:rPr>
              <w:t>261,079</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13.57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left="40" w:right="1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the Reporting Person continuing to be an Employee (as defined in the Issuer's 2024 Stock Plan) through each applicable date, twenty five percent (25%) of the shares subject to the option shall vest on the one (1) year anniversary of the Vesting Commencement Date, and one forty-eighth (1/48th) of the shares subject to the option shall vest each month thereafter on the same day of the month as the Vesting Commencement Date (and if there is no corresponding day, on the last day of the month). "Vesting Commencement Date" shall mean April 15, 2024.</w:t>
      </w:r>
    </w:p>
    <w:p>
      <w:pPr>
        <w:spacing w:after="0" w:line="33" w:lineRule="exact"/>
        <w:rPr>
          <w:rFonts w:ascii="Times New Roman" w:cs="Times New Roman" w:eastAsia="Times New Roman" w:hAnsi="Times New Roman"/>
          <w:sz w:val="15"/>
          <w:szCs w:val="15"/>
          <w:color w:val="008000"/>
        </w:rPr>
      </w:pPr>
    </w:p>
    <w:p>
      <w:pPr>
        <w:ind w:left="40" w:right="2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the Reporting Person continuing to be an Employee (as defined in the Issuer's 2024 Stock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April 15, 2024.</w:t>
      </w:r>
    </w:p>
    <w:p>
      <w:pPr>
        <w:spacing w:after="0" w:line="29"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the Reporting Person continuing to be an Employee (as defined in the Issuer's 2024 Stock Plan) through each applicable date, 1/48th of such shares on each monthly anniversary of the date that the Company obtains its first first-in-human trial approval from the FDA or a comparable non-U.S. regulatory body (which was obtained on January 31, 2025).</w:t>
      </w:r>
    </w:p>
    <w:p>
      <w:pPr>
        <w:spacing w:after="0" w:line="29"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the Reporting Person continuing to be an Employee (as defined in the Issuer's 2024 Stock Plan) through each applicable date, 1/48th of the total number of such shares on each monthly anniversary of the date that the Company obtains its second first-in-human trial approval from the FDA or a comparable non-U.S. regulatory body (which was obtained on May 6, 2025).</w:t>
      </w:r>
    </w:p>
    <w:p>
      <w:pPr>
        <w:spacing w:after="0" w:line="29" w:lineRule="exact"/>
        <w:rPr>
          <w:rFonts w:ascii="Times New Roman" w:cs="Times New Roman" w:eastAsia="Times New Roman" w:hAnsi="Times New Roman"/>
          <w:sz w:val="15"/>
          <w:szCs w:val="15"/>
          <w:color w:val="008000"/>
        </w:rPr>
      </w:pPr>
    </w:p>
    <w:p>
      <w:pPr>
        <w:jc w:val="both"/>
        <w:ind w:left="40" w:right="1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the Reporting Person continuing to be an Employee (as defined in the Issuer's 2024 Stock Plan) through each applicable date, twenty five percent (25%) of the shares subject to the option shall vest on the one (1) year anniversary of the Vesting Commencement Date, and one forty-eighth (1/48th) of the shares subject to the option shall vest each month thereafter on the same day of the month as the Vesting Commencement Date (and if there is no corresponding day, on the last day of the month). "Vesting Commencement Date" shall mean June 19, 2025.</w:t>
      </w:r>
    </w:p>
    <w:p>
      <w:pPr>
        <w:spacing w:after="0" w:line="33" w:lineRule="exact"/>
        <w:rPr>
          <w:rFonts w:ascii="Times New Roman" w:cs="Times New Roman" w:eastAsia="Times New Roman" w:hAnsi="Times New Roman"/>
          <w:sz w:val="15"/>
          <w:szCs w:val="15"/>
          <w:color w:val="008000"/>
        </w:rPr>
      </w:pPr>
    </w:p>
    <w:p>
      <w:pPr>
        <w:jc w:val="both"/>
        <w:ind w:left="40" w:right="1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the Reporting Person continuing to be an Employee (as defined in the Issuer's 2024 Stock Plan) through each applicable date, twenty five percent (25%) of the shares subject to the option shall vest on the one (1) year anniversary of the Vesting Commencement Date, and one forty-eighth (1/48th) of the shares subject to the option shall vest each month thereafter on the same day of the month as the Vesting Commencement Date (and if there is no corresponding day, on the last day of the month). "Vesting Commencement Date" shall mean September 18, 2026.</w:t>
      </w:r>
    </w:p>
    <w:p>
      <w:pPr>
        <w:sectPr>
          <w:pgSz w:w="11900" w:h="16838" w:orient="portrait"/>
          <w:cols w:equalWidth="0" w:num="1">
            <w:col w:w="10940"/>
          </w:cols>
          <w:pgMar w:left="480" w:top="230" w:right="479" w:bottom="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Co-Founder and Chief Development Officer; Exhibit 24 - Power of Attorney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Jonathan I. Lieber, as</w:t>
            </w:r>
          </w:p>
        </w:tc>
        <w:tc>
          <w:tcPr>
            <w:tcW w:w="2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33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Jonathan I. Lieber and Crystal MacKay,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53" w:lineRule="exact"/>
        <w:rPr>
          <w:sz w:val="20"/>
          <w:szCs w:val="20"/>
          <w:color w:val="auto"/>
        </w:rPr>
      </w:pPr>
    </w:p>
    <w:p>
      <w:pPr>
        <w:jc w:val="both"/>
        <w:ind w:firstLine="720"/>
        <w:spacing w:after="0" w:line="248" w:lineRule="auto"/>
        <w:tabs>
          <w:tab w:leader="none" w:pos="95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Securities and Exchange Commission ("SEC"), Bambusa Therapeutics,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the any security of the Company, including Forms 3, 4 and 5, Schedules 13D and 13G, and Forms 144; and</w:t>
      </w:r>
    </w:p>
    <w:p>
      <w:pPr>
        <w:spacing w:after="0" w:line="52" w:lineRule="exact"/>
        <w:rPr>
          <w:rFonts w:ascii="Times New Roman" w:cs="Times New Roman" w:eastAsia="Times New Roman" w:hAnsi="Times New Roman"/>
          <w:sz w:val="22"/>
          <w:szCs w:val="22"/>
          <w:color w:val="auto"/>
        </w:rPr>
      </w:pPr>
    </w:p>
    <w:p>
      <w:pPr>
        <w:jc w:val="both"/>
        <w:ind w:firstLine="720"/>
        <w:spacing w:after="0" w:line="252" w:lineRule="auto"/>
        <w:tabs>
          <w:tab w:leader="none" w:pos="94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92" w:lineRule="exact"/>
        <w:rPr>
          <w:sz w:val="20"/>
          <w:szCs w:val="20"/>
          <w:color w:val="auto"/>
        </w:rPr>
      </w:pPr>
    </w:p>
    <w:p>
      <w:pPr>
        <w:ind w:firstLine="720"/>
        <w:spacing w:after="0" w:line="273" w:lineRule="auto"/>
        <w:tabs>
          <w:tab w:leader="none" w:pos="96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24" w:lineRule="exact"/>
        <w:rPr>
          <w:rFonts w:ascii="Times New Roman" w:cs="Times New Roman" w:eastAsia="Times New Roman" w:hAnsi="Times New Roman"/>
          <w:sz w:val="22"/>
          <w:szCs w:val="22"/>
          <w:color w:val="auto"/>
        </w:rPr>
      </w:pPr>
    </w:p>
    <w:p>
      <w:pPr>
        <w:jc w:val="both"/>
        <w:ind w:firstLine="720"/>
        <w:spacing w:after="0" w:line="257" w:lineRule="auto"/>
        <w:tabs>
          <w:tab w:leader="none" w:pos="9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42" w:lineRule="exact"/>
        <w:rPr>
          <w:rFonts w:ascii="Times New Roman" w:cs="Times New Roman" w:eastAsia="Times New Roman" w:hAnsi="Times New Roman"/>
          <w:sz w:val="22"/>
          <w:szCs w:val="22"/>
          <w:color w:val="auto"/>
        </w:rPr>
      </w:pPr>
    </w:p>
    <w:p>
      <w:pPr>
        <w:jc w:val="both"/>
        <w:ind w:right="20" w:firstLine="720"/>
        <w:spacing w:after="0" w:line="252" w:lineRule="auto"/>
        <w:tabs>
          <w:tab w:leader="none" w:pos="99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47" w:lineRule="exact"/>
        <w:rPr>
          <w:rFonts w:ascii="Times New Roman" w:cs="Times New Roman" w:eastAsia="Times New Roman" w:hAnsi="Times New Roman"/>
          <w:sz w:val="22"/>
          <w:szCs w:val="22"/>
          <w:color w:val="auto"/>
        </w:rPr>
      </w:pPr>
    </w:p>
    <w:p>
      <w:pPr>
        <w:jc w:val="both"/>
        <w:ind w:firstLine="720"/>
        <w:spacing w:after="0" w:line="257" w:lineRule="auto"/>
        <w:tabs>
          <w:tab w:leader="none" w:pos="103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4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48"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741045</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3" w:name="page4"/>
    <w:bookmarkEnd w:id="3"/>
    <w:p>
      <w:pPr>
        <w:ind w:left="916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on October 24, 2026.</w:t>
      </w:r>
    </w:p>
    <w:p>
      <w:pPr>
        <w:spacing w:after="0" w:line="200" w:lineRule="exact"/>
        <w:rPr>
          <w:sz w:val="20"/>
          <w:szCs w:val="20"/>
          <w:color w:val="auto"/>
        </w:rPr>
      </w:pPr>
    </w:p>
    <w:p>
      <w:pPr>
        <w:spacing w:after="0" w:line="3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Minh Quoc Thang Ho</w:t>
      </w:r>
    </w:p>
    <w:p>
      <w:pPr>
        <w:spacing w:after="0" w:line="27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Print Name:  Minh Quoc Thang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134239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42390" cy="9525"/>
                    </a:xfrm>
                    <a:prstGeom prst="rect">
                      <a:avLst/>
                    </a:prstGeom>
                    <a:noFill/>
                  </pic:spPr>
                </pic:pic>
              </a:graphicData>
            </a:graphic>
          </wp:anchor>
        </w:drawing>
      </w:r>
    </w:p>
    <w:sectPr>
      <w:pgSz w:w="11900" w:h="16838" w:orient="portrait"/>
      <w:cols w:equalWidth="0" w:num="1">
        <w:col w:w="10220"/>
      </w:cols>
      <w:pgMar w:left="120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59278" TargetMode="External"/><Relationship Id="rId11" Type="http://schemas.openxmlformats.org/officeDocument/2006/relationships/hyperlink" Target="http://www.sec.gov/cgi-bin/browse-edgar?action=getcompany&amp;CIK=00020449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2026-10-29T17:33:09Z</dcterms:created>
  <dcterms:modified xsi:type="dcterms:W3CDTF">2026-10-29T17:33:09Z</dcterms:modified>
</cp:coreProperties>
</file>