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088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088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Lieber Jonathan I</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680" w:type="dxa"/>
            <w:vAlign w:val="bottom"/>
            <w:tcBorders>
              <w:top w:val="single" w:sz="8" w:color="0000EE"/>
              <w:bottom w:val="single" w:sz="8" w:color="9A9A9A"/>
            </w:tcBorders>
          </w:tcPr>
          <w:p>
            <w:pPr>
              <w:spacing w:after="0"/>
              <w:rPr>
                <w:sz w:val="17"/>
                <w:szCs w:val="17"/>
                <w:color w:val="auto"/>
              </w:rPr>
            </w:pPr>
          </w:p>
        </w:tc>
        <w:tc>
          <w:tcPr>
            <w:tcW w:w="13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10/29/2026</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Bambusa 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BBTX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rPr>
          <w:sz w:val="20"/>
          <w:szCs w:val="20"/>
          <w:color w:val="auto"/>
        </w:rPr>
      </w:pPr>
      <w:r>
        <w:rPr>
          <w:rFonts w:ascii="Arial" w:cs="Arial" w:eastAsia="Arial" w:hAnsi="Arial"/>
          <w:sz w:val="15"/>
          <w:szCs w:val="15"/>
          <w:color w:val="auto"/>
        </w:rPr>
        <w:t>Foreign Trading Symbol</w:t>
      </w:r>
    </w:p>
    <w:p>
      <w:pPr>
        <w:spacing w:after="0" w:line="46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57" w:lineRule="exact"/>
        <w:rPr>
          <w:sz w:val="24"/>
          <w:szCs w:val="24"/>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C/O BAMBUSA 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22 BOSTON WHARF ROAD,</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FLOOR 7</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02210</w:t>
            </w:r>
          </w:p>
        </w:tc>
      </w:tr>
    </w:tbl>
    <w:p>
      <w:pPr>
        <w:spacing w:after="0" w:line="20" w:lineRule="exact"/>
        <w:rPr>
          <w:sz w:val="24"/>
          <w:szCs w:val="24"/>
          <w:color w:val="auto"/>
        </w:rPr>
      </w:pPr>
      <w:r>
        <w:rPr>
          <w:sz w:val="24"/>
          <w:szCs w:val="24"/>
          <w:color w:val="auto"/>
        </w:rPr>
        <w:br w:type="column"/>
      </w:r>
    </w:p>
    <w:p>
      <w:pPr>
        <w:ind w:left="3" w:right="300" w:hanging="3"/>
        <w:spacing w:after="0" w:line="237"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2"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0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0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09/17/2036</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440,282</w:t>
            </w:r>
          </w:p>
        </w:tc>
        <w:tc>
          <w:tcPr>
            <w:tcW w:w="100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13.57</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jc w:val="both"/>
        <w:ind w:left="40" w:right="16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Subject to the Reporting Person continuing to be an Employee (as defined in the Issuer's 2024 Stock Plan) through each applicable date, twenty five percent (25%) of the shares subject to the option shall vest on the one (1) year anniversary of the Vesting Commencement Date, and one forty-eighth (1/48th) of the shares subject to the option shall vest each month thereafter on the same day of the month as the Vesting Commencement Date (and if there is no corresponding day, on the last day of the month). "Vesting Commencement Date" shall mean September 15, 2026.</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Jonathan I. Lieber</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10/29/2026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333" w:lineRule="exact"/>
        <w:rPr>
          <w:sz w:val="20"/>
          <w:szCs w:val="20"/>
          <w:color w:val="auto"/>
        </w:rPr>
      </w:pPr>
    </w:p>
    <w:p>
      <w:pPr>
        <w:jc w:val="both"/>
        <w:ind w:firstLine="720"/>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Crystal MacKay the undersigned's true and lawful attorney-in-fact (such person being referred to herein as the "Attorney-in-Fact"), with full power to act for the undersigned and in the undersigned's name, place and stead, in any and all capacities, to:</w:t>
      </w:r>
    </w:p>
    <w:p>
      <w:pPr>
        <w:spacing w:after="0" w:line="43" w:lineRule="exact"/>
        <w:rPr>
          <w:sz w:val="20"/>
          <w:szCs w:val="20"/>
          <w:color w:val="auto"/>
        </w:rPr>
      </w:pPr>
    </w:p>
    <w:p>
      <w:pPr>
        <w:jc w:val="both"/>
        <w:ind w:firstLine="720"/>
        <w:spacing w:after="0" w:line="248" w:lineRule="auto"/>
        <w:tabs>
          <w:tab w:leader="none" w:pos="956"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and submit to the Securities and Exchange Commission ("SEC"), Bambusa Therapeutics, Inc. (the "Company"), and/or any national securities exchange on which the Company's securities are listed any and all reports (including any amendments thereto) the undersigned is required to file with the SEC, or which the Attorney- in-Fact considers it advisable to file with the SEC, under Section 13 or Section 16 of the Securities Exchange Act of 1934 (the "Exchange Act") or any rule or regulation thereunder, or under Rule 144 under the Securities Act of 1933 ("Rule 144"), with respect to the any security of the Company, including Forms 3, 4 and 5, Schedules 13D and 13G, and Forms 144; and</w:t>
      </w:r>
    </w:p>
    <w:p>
      <w:pPr>
        <w:spacing w:after="0" w:line="52" w:lineRule="exact"/>
        <w:rPr>
          <w:rFonts w:ascii="Times New Roman" w:cs="Times New Roman" w:eastAsia="Times New Roman" w:hAnsi="Times New Roman"/>
          <w:sz w:val="22"/>
          <w:szCs w:val="22"/>
          <w:color w:val="auto"/>
        </w:rPr>
      </w:pPr>
    </w:p>
    <w:p>
      <w:pPr>
        <w:jc w:val="both"/>
        <w:ind w:firstLine="720"/>
        <w:spacing w:after="0" w:line="252" w:lineRule="auto"/>
        <w:tabs>
          <w:tab w:leader="none" w:pos="942"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6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The undersigned acknowledges that:</w:t>
      </w:r>
    </w:p>
    <w:p>
      <w:pPr>
        <w:spacing w:after="0" w:line="92" w:lineRule="exact"/>
        <w:rPr>
          <w:sz w:val="20"/>
          <w:szCs w:val="20"/>
          <w:color w:val="auto"/>
        </w:rPr>
      </w:pPr>
    </w:p>
    <w:p>
      <w:pPr>
        <w:ind w:firstLine="720"/>
        <w:spacing w:after="0" w:line="273" w:lineRule="auto"/>
        <w:tabs>
          <w:tab w:leader="none" w:pos="96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authorizes, but does not require, the Attorney-in-Fact to act in his or her discretion on information provided to such Attorney-in-Fact without independent verification of such information;</w:t>
      </w:r>
    </w:p>
    <w:p>
      <w:pPr>
        <w:spacing w:after="0" w:line="24" w:lineRule="exact"/>
        <w:rPr>
          <w:rFonts w:ascii="Times New Roman" w:cs="Times New Roman" w:eastAsia="Times New Roman" w:hAnsi="Times New Roman"/>
          <w:sz w:val="22"/>
          <w:szCs w:val="22"/>
          <w:color w:val="auto"/>
        </w:rPr>
      </w:pPr>
    </w:p>
    <w:p>
      <w:pPr>
        <w:jc w:val="both"/>
        <w:ind w:firstLine="720"/>
        <w:spacing w:after="0" w:line="257" w:lineRule="auto"/>
        <w:tabs>
          <w:tab w:leader="none" w:pos="99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42" w:lineRule="exact"/>
        <w:rPr>
          <w:rFonts w:ascii="Times New Roman" w:cs="Times New Roman" w:eastAsia="Times New Roman" w:hAnsi="Times New Roman"/>
          <w:sz w:val="22"/>
          <w:szCs w:val="22"/>
          <w:color w:val="auto"/>
        </w:rPr>
      </w:pPr>
    </w:p>
    <w:p>
      <w:pPr>
        <w:jc w:val="both"/>
        <w:ind w:right="20" w:firstLine="720"/>
        <w:spacing w:after="0" w:line="252" w:lineRule="auto"/>
        <w:tabs>
          <w:tab w:leader="none" w:pos="99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47" w:lineRule="exact"/>
        <w:rPr>
          <w:rFonts w:ascii="Times New Roman" w:cs="Times New Roman" w:eastAsia="Times New Roman" w:hAnsi="Times New Roman"/>
          <w:sz w:val="22"/>
          <w:szCs w:val="22"/>
          <w:color w:val="auto"/>
        </w:rPr>
      </w:pPr>
    </w:p>
    <w:p>
      <w:pPr>
        <w:jc w:val="both"/>
        <w:ind w:firstLine="720"/>
        <w:spacing w:after="0" w:line="257" w:lineRule="auto"/>
        <w:tabs>
          <w:tab w:leader="none" w:pos="1033"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43" w:lineRule="exact"/>
        <w:rPr>
          <w:sz w:val="20"/>
          <w:szCs w:val="20"/>
          <w:color w:val="auto"/>
        </w:rPr>
      </w:pPr>
    </w:p>
    <w:p>
      <w:pPr>
        <w:jc w:val="both"/>
        <w:ind w:firstLine="720"/>
        <w:spacing w:after="0" w:line="252" w:lineRule="auto"/>
        <w:rPr>
          <w:sz w:val="20"/>
          <w:szCs w:val="20"/>
          <w:color w:val="auto"/>
        </w:rPr>
      </w:pPr>
      <w:r>
        <w:rPr>
          <w:rFonts w:ascii="Times New Roman" w:cs="Times New Roman" w:eastAsia="Times New Roman" w:hAnsi="Times New Roman"/>
          <w:sz w:val="22"/>
          <w:szCs w:val="22"/>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48" w:lineRule="exact"/>
        <w:rPr>
          <w:sz w:val="20"/>
          <w:szCs w:val="20"/>
          <w:color w:val="auto"/>
        </w:rPr>
      </w:pPr>
    </w:p>
    <w:p>
      <w:pPr>
        <w:jc w:val="both"/>
        <w:ind w:firstLine="720"/>
        <w:spacing w:after="0" w:line="268"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741045</wp:posOffset>
            </wp:positionV>
            <wp:extent cx="6946900" cy="104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4775"/>
                    </a:xfrm>
                    <a:prstGeom prst="rect">
                      <a:avLst/>
                    </a:prstGeom>
                    <a:noFill/>
                  </pic:spPr>
                </pic:pic>
              </a:graphicData>
            </a:graphic>
          </wp:anchor>
        </w:drawing>
      </w:r>
    </w:p>
    <w:p>
      <w:pPr>
        <w:sectPr>
          <w:pgSz w:w="11900" w:h="16838" w:orient="portrait"/>
          <w:cols w:equalWidth="0" w:num="1">
            <w:col w:w="10940"/>
          </w:cols>
          <w:pgMar w:left="480" w:top="104" w:right="479" w:bottom="1440" w:gutter="0" w:footer="0" w:header="0"/>
        </w:sectPr>
      </w:pPr>
    </w:p>
    <w:bookmarkStart w:id="2" w:name="page3"/>
    <w:bookmarkEnd w:id="2"/>
    <w:p>
      <w:pPr>
        <w:ind w:left="916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on October 21, 2026.</w:t>
      </w:r>
    </w:p>
    <w:p>
      <w:pPr>
        <w:spacing w:after="0" w:line="200" w:lineRule="exact"/>
        <w:rPr>
          <w:sz w:val="20"/>
          <w:szCs w:val="20"/>
          <w:color w:val="auto"/>
        </w:rPr>
      </w:pPr>
    </w:p>
    <w:p>
      <w:pPr>
        <w:spacing w:after="0" w:line="31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 xml:space="preserve">Signature: </w:t>
      </w:r>
      <w:r>
        <w:rPr>
          <w:rFonts w:ascii="Times New Roman" w:cs="Times New Roman" w:eastAsia="Times New Roman" w:hAnsi="Times New Roman"/>
          <w:sz w:val="22"/>
          <w:szCs w:val="22"/>
          <w:u w:val="single" w:color="auto"/>
          <w:color w:val="auto"/>
        </w:rPr>
        <w:t>/s/ Jonathan I. Lieber</w:t>
      </w:r>
    </w:p>
    <w:p>
      <w:pPr>
        <w:spacing w:after="0" w:line="27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Print Name:  Jonathan I. Lieber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-10795</wp:posOffset>
            </wp:positionV>
            <wp:extent cx="1116965"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16965" cy="9525"/>
                    </a:xfrm>
                    <a:prstGeom prst="rect">
                      <a:avLst/>
                    </a:prstGeom>
                    <a:noFill/>
                  </pic:spPr>
                </pic:pic>
              </a:graphicData>
            </a:graphic>
          </wp:anchor>
        </w:drawing>
      </w:r>
    </w:p>
    <w:sectPr>
      <w:pgSz w:w="11900" w:h="16838" w:orient="portrait"/>
      <w:cols w:equalWidth="0" w:num="1">
        <w:col w:w="10220"/>
      </w:cols>
      <w:pgMar w:left="120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350090" TargetMode="External"/><Relationship Id="rId11" Type="http://schemas.openxmlformats.org/officeDocument/2006/relationships/hyperlink" Target="http://www.sec.gov/cgi-bin/browse-edgar?action=getcompany&amp;CIK=00020449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2026-10-29T16:37:07Z</dcterms:created>
  <dcterms:modified xsi:type="dcterms:W3CDTF">2026-10-29T16:37:07Z</dcterms:modified>
</cp:coreProperties>
</file>