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42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428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Jeggle Helmut Wolfgang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8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10/29/2026</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Bambusa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BBTX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46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57"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C/O BAMBUSA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22 BOSTON WHARF ROAD,</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 7</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37"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20"/>
                <w:szCs w:val="20"/>
                <w:color w:val="0000FF"/>
              </w:rPr>
              <w:t>4,119,600</w:t>
            </w:r>
          </w:p>
        </w:tc>
        <w:tc>
          <w:tcPr>
            <w:tcW w:w="92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6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5"/>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Seed Preferred Stock</w:t>
            </w:r>
          </w:p>
        </w:tc>
        <w:tc>
          <w:tcPr>
            <w:tcW w:w="11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8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3,135,066</w:t>
            </w:r>
          </w:p>
        </w:tc>
        <w:tc>
          <w:tcPr>
            <w:tcW w:w="60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A-1 Preferred Stock</w:t>
            </w:r>
          </w:p>
        </w:tc>
        <w:tc>
          <w:tcPr>
            <w:tcW w:w="11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8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1,473,775</w:t>
            </w:r>
          </w:p>
        </w:tc>
        <w:tc>
          <w:tcPr>
            <w:tcW w:w="60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A-2 Preferred Stock</w:t>
            </w:r>
          </w:p>
        </w:tc>
        <w:tc>
          <w:tcPr>
            <w:tcW w:w="11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8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160,860</w:t>
            </w:r>
          </w:p>
        </w:tc>
        <w:tc>
          <w:tcPr>
            <w:tcW w:w="60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by Salvia Investment GmbH ("Salvia"). The Reporting Person is the Managing Director of Salvia GmbH and has sole voting and dispositive power with respect to the shares held by Salvia. The Reporting Person disclaims beneficial ownership of such holdings, except to the extent of his pecuniary interest in the shares.</w:t>
      </w:r>
    </w:p>
    <w:p>
      <w:pPr>
        <w:spacing w:after="0" w:line="17" w:lineRule="exact"/>
        <w:rPr>
          <w:rFonts w:ascii="Times New Roman" w:cs="Times New Roman" w:eastAsia="Times New Roman" w:hAnsi="Times New Roman"/>
          <w:sz w:val="15"/>
          <w:szCs w:val="15"/>
          <w:color w:val="008000"/>
        </w:rPr>
      </w:pPr>
    </w:p>
    <w:p>
      <w:pPr>
        <w:ind w:left="40" w:right="2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shares of the preferred stock, par value $0.00001 per share, of the Issuer will automatically be converted on a one-for-one basis to shares of the Issuer's common stock, par value $0.00001 per share ("Common Stock") prior to the closing of the Issuer's initial public offering of its Common Stock.</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Jonathan I. Lieber, as</w:t>
            </w:r>
          </w:p>
        </w:tc>
        <w:tc>
          <w:tcPr>
            <w:tcW w:w="2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33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Jonathan I. Lieber and Crystal MacKay,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53" w:lineRule="exact"/>
        <w:rPr>
          <w:sz w:val="20"/>
          <w:szCs w:val="20"/>
          <w:color w:val="auto"/>
        </w:rPr>
      </w:pPr>
    </w:p>
    <w:p>
      <w:pPr>
        <w:jc w:val="both"/>
        <w:ind w:firstLine="720"/>
        <w:spacing w:after="0" w:line="248" w:lineRule="auto"/>
        <w:tabs>
          <w:tab w:leader="none" w:pos="95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Securities and Exchange Commission ("SEC"), Bambusa Therapeutics, Inc. (the "Company"), and/or any national securities exchange on which the Company's securities are listed any and all reports (including any amendments thereto) the undersigned is required to file with the SEC, or which the Attorney- in-Fact considers it advisable to file with the SEC, under Section 13 or Section 16 of the Securities Exchange Act of 1934 (the "Exchange Act") or any rule or regulation thereunder, or under Rule 144 under the Securities Act of 1933 ("Rule 144"), with respect to the any security of the Company, including Forms 3, 4 and 5, Schedules 13D and 13G, and Forms 144; and</w:t>
      </w:r>
    </w:p>
    <w:p>
      <w:pPr>
        <w:spacing w:after="0" w:line="52" w:lineRule="exact"/>
        <w:rPr>
          <w:rFonts w:ascii="Times New Roman" w:cs="Times New Roman" w:eastAsia="Times New Roman" w:hAnsi="Times New Roman"/>
          <w:sz w:val="22"/>
          <w:szCs w:val="22"/>
          <w:color w:val="auto"/>
        </w:rPr>
      </w:pPr>
    </w:p>
    <w:p>
      <w:pPr>
        <w:jc w:val="both"/>
        <w:ind w:firstLine="720"/>
        <w:spacing w:after="0" w:line="252" w:lineRule="auto"/>
        <w:tabs>
          <w:tab w:leader="none" w:pos="94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92" w:lineRule="exact"/>
        <w:rPr>
          <w:sz w:val="20"/>
          <w:szCs w:val="20"/>
          <w:color w:val="auto"/>
        </w:rPr>
      </w:pPr>
    </w:p>
    <w:p>
      <w:pPr>
        <w:ind w:firstLine="720"/>
        <w:spacing w:after="0" w:line="273" w:lineRule="auto"/>
        <w:tabs>
          <w:tab w:leader="none" w:pos="96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24" w:lineRule="exact"/>
        <w:rPr>
          <w:rFonts w:ascii="Times New Roman" w:cs="Times New Roman" w:eastAsia="Times New Roman" w:hAnsi="Times New Roman"/>
          <w:sz w:val="22"/>
          <w:szCs w:val="22"/>
          <w:color w:val="auto"/>
        </w:rPr>
      </w:pPr>
    </w:p>
    <w:p>
      <w:pPr>
        <w:jc w:val="both"/>
        <w:ind w:firstLine="720"/>
        <w:spacing w:after="0" w:line="257" w:lineRule="auto"/>
        <w:tabs>
          <w:tab w:leader="none" w:pos="9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42" w:lineRule="exact"/>
        <w:rPr>
          <w:rFonts w:ascii="Times New Roman" w:cs="Times New Roman" w:eastAsia="Times New Roman" w:hAnsi="Times New Roman"/>
          <w:sz w:val="22"/>
          <w:szCs w:val="22"/>
          <w:color w:val="auto"/>
        </w:rPr>
      </w:pPr>
    </w:p>
    <w:p>
      <w:pPr>
        <w:jc w:val="both"/>
        <w:ind w:right="20" w:firstLine="720"/>
        <w:spacing w:after="0" w:line="252" w:lineRule="auto"/>
        <w:tabs>
          <w:tab w:leader="none" w:pos="99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47" w:lineRule="exact"/>
        <w:rPr>
          <w:rFonts w:ascii="Times New Roman" w:cs="Times New Roman" w:eastAsia="Times New Roman" w:hAnsi="Times New Roman"/>
          <w:sz w:val="22"/>
          <w:szCs w:val="22"/>
          <w:color w:val="auto"/>
        </w:rPr>
      </w:pPr>
    </w:p>
    <w:p>
      <w:pPr>
        <w:jc w:val="both"/>
        <w:ind w:firstLine="720"/>
        <w:spacing w:after="0" w:line="257" w:lineRule="auto"/>
        <w:tabs>
          <w:tab w:leader="none" w:pos="103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4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48"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741045</wp:posOffset>
            </wp:positionV>
            <wp:extent cx="6946900" cy="10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ind w:left="916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on October 22, 2026.</w:t>
      </w:r>
    </w:p>
    <w:p>
      <w:pPr>
        <w:spacing w:after="0" w:line="200" w:lineRule="exact"/>
        <w:rPr>
          <w:sz w:val="20"/>
          <w:szCs w:val="20"/>
          <w:color w:val="auto"/>
        </w:rPr>
      </w:pPr>
    </w:p>
    <w:p>
      <w:pPr>
        <w:spacing w:after="0" w:line="3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Helmut Wolfgang Jeggle</w:t>
      </w:r>
    </w:p>
    <w:p>
      <w:pPr>
        <w:spacing w:after="0" w:line="27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Print Name:  Helmut Wolfgang Jeggle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-10795</wp:posOffset>
            </wp:positionV>
            <wp:extent cx="149733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97330" cy="9525"/>
                    </a:xfrm>
                    <a:prstGeom prst="rect">
                      <a:avLst/>
                    </a:prstGeom>
                    <a:noFill/>
                  </pic:spPr>
                </pic:pic>
              </a:graphicData>
            </a:graphic>
          </wp:anchor>
        </w:drawing>
      </w:r>
    </w:p>
    <w:sectPr>
      <w:pgSz w:w="11900" w:h="16838" w:orient="portrait"/>
      <w:cols w:equalWidth="0" w:num="1">
        <w:col w:w="10220"/>
      </w:cols>
      <w:pgMar w:left="120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82614" TargetMode="External"/><Relationship Id="rId11" Type="http://schemas.openxmlformats.org/officeDocument/2006/relationships/hyperlink" Target="http://www.sec.gov/cgi-bin/browse-edgar?action=getcompany&amp;CIK=00020449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2026-10-29T16:52:44Z</dcterms:created>
  <dcterms:modified xsi:type="dcterms:W3CDTF">2026-10-29T16:52:44Z</dcterms:modified>
</cp:coreProperties>
</file>